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E510" w14:textId="67D5BB2C" w:rsidR="00B85C67" w:rsidRDefault="00594DD0" w:rsidP="00B85C67">
      <w:pPr>
        <w:rPr>
          <w:rFonts w:eastAsia="Times New Roman"/>
        </w:rPr>
      </w:pPr>
      <w:r>
        <w:rPr>
          <w:rFonts w:ascii="Arial" w:hAnsi="Arial" w:cs="Arial"/>
          <w:b/>
          <w:bCs/>
          <w:sz w:val="20"/>
          <w:szCs w:val="20"/>
        </w:rPr>
        <w:t xml:space="preserve">3GPP TSG RAN WG1 Meeting </w:t>
      </w:r>
      <w:r w:rsidR="001B2D32">
        <w:rPr>
          <w:rFonts w:ascii="Arial" w:hAnsi="Arial" w:cs="Arial"/>
          <w:b/>
          <w:bCs/>
          <w:sz w:val="20"/>
          <w:szCs w:val="20"/>
        </w:rPr>
        <w:t>#</w:t>
      </w:r>
      <w:r w:rsidR="009D0FAF">
        <w:rPr>
          <w:rFonts w:ascii="Arial" w:hAnsi="Arial" w:cs="Arial"/>
          <w:b/>
          <w:bCs/>
          <w:sz w:val="20"/>
          <w:szCs w:val="20"/>
        </w:rPr>
        <w:t>94</w:t>
      </w:r>
      <w:r w:rsidR="00B11415" w:rsidRPr="00B11415">
        <w:rPr>
          <w:rFonts w:ascii="Arial" w:hAnsi="Arial" w:cs="Arial"/>
          <w:b/>
          <w:bCs/>
          <w:sz w:val="20"/>
          <w:szCs w:val="20"/>
        </w:rPr>
        <w:t xml:space="preserve"> </w:t>
      </w:r>
      <w:r w:rsidR="00B11415" w:rsidRPr="00B11415">
        <w:rPr>
          <w:rFonts w:ascii="Arial" w:eastAsia="MS Mincho" w:hAnsi="Arial" w:cs="Arial"/>
          <w:b/>
          <w:bCs/>
          <w:sz w:val="20"/>
          <w:szCs w:val="20"/>
          <w:lang w:eastAsia="ja-JP"/>
        </w:rPr>
        <w:tab/>
      </w:r>
      <w:r w:rsidR="00B11415" w:rsidRPr="00B11415">
        <w:rPr>
          <w:rFonts w:ascii="Arial" w:hAnsi="Arial" w:cs="Arial"/>
          <w:b/>
          <w:bCs/>
          <w:sz w:val="20"/>
          <w:szCs w:val="20"/>
        </w:rPr>
        <w:tab/>
      </w:r>
      <w:r w:rsidR="00B11415"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Pr>
          <w:rFonts w:ascii="Arial" w:hAnsi="Arial" w:cs="Arial"/>
          <w:b/>
          <w:bCs/>
          <w:sz w:val="20"/>
          <w:szCs w:val="20"/>
        </w:rPr>
        <w:t>R1-180</w:t>
      </w:r>
      <w:r w:rsidR="009D0FAF">
        <w:rPr>
          <w:rFonts w:ascii="Arial" w:hAnsi="Arial" w:cs="Arial"/>
          <w:b/>
          <w:bCs/>
          <w:sz w:val="20"/>
          <w:szCs w:val="20"/>
        </w:rPr>
        <w:t>861</w:t>
      </w:r>
      <w:r w:rsidR="00A91F87">
        <w:rPr>
          <w:rFonts w:ascii="Arial" w:hAnsi="Arial" w:cs="Arial"/>
          <w:b/>
          <w:bCs/>
          <w:sz w:val="20"/>
          <w:szCs w:val="20"/>
        </w:rPr>
        <w:t>2</w:t>
      </w:r>
    </w:p>
    <w:p w14:paraId="2A527F7E" w14:textId="6F51851B" w:rsidR="00B11415" w:rsidRPr="00B11415" w:rsidRDefault="009D0FAF" w:rsidP="00B11415">
      <w:pPr>
        <w:tabs>
          <w:tab w:val="center" w:pos="4536"/>
          <w:tab w:val="right" w:pos="9072"/>
        </w:tabs>
        <w:rPr>
          <w:rFonts w:ascii="Arial" w:eastAsia="MS Mincho" w:hAnsi="Arial" w:cs="Arial"/>
          <w:b/>
          <w:bCs/>
          <w:sz w:val="20"/>
          <w:szCs w:val="20"/>
          <w:lang w:eastAsia="ja-JP"/>
        </w:rPr>
      </w:pPr>
      <w:r>
        <w:rPr>
          <w:rFonts w:ascii="Arial" w:eastAsia="MS Mincho" w:hAnsi="Arial" w:cs="Arial"/>
          <w:b/>
          <w:bCs/>
          <w:sz w:val="20"/>
          <w:szCs w:val="20"/>
          <w:lang w:eastAsia="ja-JP"/>
        </w:rPr>
        <w:t>Gothenburg, Sweden</w:t>
      </w:r>
      <w:r w:rsidR="00B11415" w:rsidRPr="00B11415">
        <w:rPr>
          <w:rFonts w:ascii="Arial" w:eastAsia="MS Mincho" w:hAnsi="Arial" w:cs="Arial"/>
          <w:b/>
          <w:bCs/>
          <w:sz w:val="20"/>
          <w:szCs w:val="20"/>
          <w:lang w:eastAsia="ja-JP"/>
        </w:rPr>
        <w:t xml:space="preserve">, </w:t>
      </w:r>
      <w:r>
        <w:rPr>
          <w:rFonts w:ascii="Arial" w:eastAsia="MS Mincho" w:hAnsi="Arial" w:cs="Arial"/>
          <w:b/>
          <w:bCs/>
          <w:sz w:val="20"/>
          <w:szCs w:val="20"/>
          <w:lang w:eastAsia="ja-JP"/>
        </w:rPr>
        <w:t>August</w:t>
      </w:r>
      <w:r w:rsidR="009A162F">
        <w:rPr>
          <w:rFonts w:ascii="Arial" w:eastAsia="MS Mincho" w:hAnsi="Arial" w:cs="Arial"/>
          <w:b/>
          <w:bCs/>
          <w:sz w:val="20"/>
          <w:szCs w:val="20"/>
          <w:lang w:eastAsia="ja-JP"/>
        </w:rPr>
        <w:t xml:space="preserve"> </w:t>
      </w:r>
      <w:r w:rsidR="00A91F87">
        <w:rPr>
          <w:rFonts w:ascii="Arial" w:eastAsia="MS Mincho" w:hAnsi="Arial" w:cs="Arial"/>
          <w:b/>
          <w:bCs/>
          <w:sz w:val="20"/>
          <w:szCs w:val="20"/>
          <w:lang w:eastAsia="ja-JP"/>
        </w:rPr>
        <w:t>2</w:t>
      </w:r>
      <w:r>
        <w:rPr>
          <w:rFonts w:ascii="Arial" w:eastAsia="MS Mincho" w:hAnsi="Arial" w:cs="Arial"/>
          <w:b/>
          <w:bCs/>
          <w:sz w:val="20"/>
          <w:szCs w:val="20"/>
          <w:lang w:eastAsia="ja-JP"/>
        </w:rPr>
        <w:t>0</w:t>
      </w:r>
      <w:r w:rsidRPr="009D0FAF">
        <w:rPr>
          <w:rFonts w:ascii="Arial" w:eastAsia="MS Mincho" w:hAnsi="Arial" w:cs="Arial"/>
          <w:b/>
          <w:bCs/>
          <w:sz w:val="20"/>
          <w:szCs w:val="20"/>
          <w:vertAlign w:val="superscript"/>
          <w:lang w:eastAsia="ja-JP"/>
        </w:rPr>
        <w:t>th</w:t>
      </w:r>
      <w:r>
        <w:rPr>
          <w:rFonts w:ascii="Arial" w:eastAsia="MS Mincho" w:hAnsi="Arial" w:cs="Arial"/>
          <w:b/>
          <w:bCs/>
          <w:sz w:val="20"/>
          <w:szCs w:val="20"/>
          <w:lang w:eastAsia="ja-JP"/>
        </w:rPr>
        <w:t xml:space="preserve"> </w:t>
      </w:r>
      <w:r w:rsidR="00594DD0">
        <w:rPr>
          <w:rFonts w:ascii="Arial" w:eastAsia="MS Mincho" w:hAnsi="Arial" w:cs="Arial"/>
          <w:b/>
          <w:bCs/>
          <w:sz w:val="20"/>
          <w:szCs w:val="20"/>
          <w:lang w:eastAsia="ja-JP"/>
        </w:rPr>
        <w:t xml:space="preserve">– </w:t>
      </w:r>
      <w:r w:rsidR="009A162F">
        <w:rPr>
          <w:rFonts w:ascii="Arial" w:eastAsia="MS Mincho" w:hAnsi="Arial" w:cs="Arial"/>
          <w:b/>
          <w:bCs/>
          <w:sz w:val="20"/>
          <w:szCs w:val="20"/>
          <w:lang w:eastAsia="ja-JP"/>
        </w:rPr>
        <w:t>2</w:t>
      </w:r>
      <w:r>
        <w:rPr>
          <w:rFonts w:ascii="Arial" w:eastAsia="MS Mincho" w:hAnsi="Arial" w:cs="Arial"/>
          <w:b/>
          <w:bCs/>
          <w:sz w:val="20"/>
          <w:szCs w:val="20"/>
          <w:lang w:eastAsia="ja-JP"/>
        </w:rPr>
        <w:t>4</w:t>
      </w:r>
      <w:r w:rsidR="009A162F" w:rsidRPr="009A162F">
        <w:rPr>
          <w:rFonts w:ascii="Arial" w:eastAsia="MS Mincho" w:hAnsi="Arial" w:cs="Arial"/>
          <w:b/>
          <w:bCs/>
          <w:sz w:val="20"/>
          <w:szCs w:val="20"/>
          <w:vertAlign w:val="superscript"/>
          <w:lang w:eastAsia="ja-JP"/>
        </w:rPr>
        <w:t>th</w:t>
      </w:r>
      <w:r w:rsidR="00594DD0">
        <w:rPr>
          <w:rFonts w:ascii="Arial" w:eastAsia="MS Mincho" w:hAnsi="Arial" w:cs="Arial"/>
          <w:b/>
          <w:bCs/>
          <w:sz w:val="20"/>
          <w:szCs w:val="20"/>
          <w:lang w:eastAsia="ja-JP"/>
        </w:rPr>
        <w:t>, 2018</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06E35219"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9D0FAF">
        <w:rPr>
          <w:sz w:val="22"/>
          <w:szCs w:val="22"/>
        </w:rPr>
        <w:t>2</w:t>
      </w:r>
      <w:r w:rsidR="00A91F87">
        <w:rPr>
          <w:sz w:val="22"/>
          <w:szCs w:val="22"/>
        </w:rPr>
        <w:t>.2</w:t>
      </w:r>
      <w:r w:rsidR="009D0FAF">
        <w:rPr>
          <w:sz w:val="22"/>
          <w:szCs w:val="22"/>
        </w:rPr>
        <w:t>.3.1</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58D106E4" w:rsidR="008E401E" w:rsidRDefault="003D3C45" w:rsidP="00311702">
      <w:pPr>
        <w:pStyle w:val="3GPPHeader"/>
        <w:rPr>
          <w:sz w:val="22"/>
          <w:szCs w:val="22"/>
        </w:rPr>
      </w:pPr>
      <w:r w:rsidRPr="00315C6E">
        <w:rPr>
          <w:sz w:val="22"/>
          <w:szCs w:val="22"/>
        </w:rPr>
        <w:t>Title:</w:t>
      </w:r>
      <w:r w:rsidR="00E90E49" w:rsidRPr="00315C6E">
        <w:rPr>
          <w:sz w:val="22"/>
          <w:szCs w:val="22"/>
        </w:rPr>
        <w:tab/>
      </w:r>
      <w:r w:rsidR="009D0FAF">
        <w:rPr>
          <w:sz w:val="22"/>
          <w:szCs w:val="22"/>
        </w:rPr>
        <w:t>On DL Signals and Channels for NR-U</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Default="00E90E49" w:rsidP="00226A79">
      <w:pPr>
        <w:pStyle w:val="Heading1"/>
      </w:pPr>
      <w:r w:rsidRPr="00315C6E">
        <w:t>Introduction</w:t>
      </w:r>
    </w:p>
    <w:p w14:paraId="0E210350" w14:textId="77777777" w:rsidR="008B4716" w:rsidRDefault="008B4716" w:rsidP="008B4716">
      <w:pPr>
        <w:jc w:val="both"/>
      </w:pPr>
      <w:r>
        <w:t>LTE based unlicensed operations, i.e. LAA/</w:t>
      </w:r>
      <w:proofErr w:type="spellStart"/>
      <w:r>
        <w:t>eLAA</w:t>
      </w:r>
      <w:proofErr w:type="spellEnd"/>
      <w:r>
        <w:t xml:space="preserve">, were introduced starting from Rel-13. A Rel-15 study item </w:t>
      </w:r>
      <w:r>
        <w:fldChar w:fldCharType="begin"/>
      </w:r>
      <w:r>
        <w:instrText xml:space="preserve"> REF _Ref506552387 \r \h </w:instrText>
      </w:r>
      <w:r>
        <w:fldChar w:fldCharType="separate"/>
      </w:r>
      <w:r>
        <w:t>[1]</w:t>
      </w:r>
      <w:r>
        <w:fldChar w:fldCharType="end"/>
      </w:r>
      <w:r>
        <w:t xml:space="preserve"> on NR-based unlicensed access has been approved to study the solutions applicable to potential spectrum candidates both below and above 6Ghz, as well as various deployment scenarios, including CA or DC based LAA and standalone based unlicensed operations.   </w:t>
      </w:r>
    </w:p>
    <w:p w14:paraId="4C0625C1" w14:textId="77777777" w:rsidR="00D0190A" w:rsidRDefault="00D0190A" w:rsidP="009A28B6">
      <w:pPr>
        <w:jc w:val="both"/>
        <w:rPr>
          <w:sz w:val="20"/>
          <w:szCs w:val="20"/>
        </w:rPr>
      </w:pPr>
    </w:p>
    <w:p w14:paraId="593C00FF" w14:textId="5389F667" w:rsidR="006C3EA8" w:rsidRDefault="006C3EA8" w:rsidP="009A28B6">
      <w:pPr>
        <w:jc w:val="both"/>
      </w:pPr>
      <w:r>
        <w:t>In RAN1 #92bis, it was agreed that</w:t>
      </w:r>
      <w:r w:rsidR="000D3138">
        <w:t xml:space="preserve"> </w:t>
      </w:r>
      <w:r w:rsidR="000D3138">
        <w:fldChar w:fldCharType="begin"/>
      </w:r>
      <w:r w:rsidR="000D3138">
        <w:instrText xml:space="preserve"> REF _Ref513812566 \n \h </w:instrText>
      </w:r>
      <w:r w:rsidR="000D3138">
        <w:fldChar w:fldCharType="separate"/>
      </w:r>
      <w:r w:rsidR="000D3138">
        <w:t>[2]</w:t>
      </w:r>
      <w:r w:rsidR="000D3138">
        <w:fldChar w:fldCharType="end"/>
      </w:r>
      <w:r>
        <w:t>:</w:t>
      </w:r>
    </w:p>
    <w:p w14:paraId="32D15A73" w14:textId="77777777" w:rsidR="000D3138" w:rsidRPr="00085D5D" w:rsidRDefault="000D3138" w:rsidP="000D3138">
      <w:r w:rsidRPr="005C369E">
        <w:rPr>
          <w:highlight w:val="green"/>
        </w:rPr>
        <w:t>Agreements:</w:t>
      </w:r>
    </w:p>
    <w:p w14:paraId="2487C37F" w14:textId="77777777" w:rsidR="000D3138" w:rsidRPr="0001199A" w:rsidRDefault="000D3138" w:rsidP="000D3138">
      <w:pPr>
        <w:widowControl w:val="0"/>
        <w:numPr>
          <w:ilvl w:val="0"/>
          <w:numId w:val="32"/>
        </w:numPr>
        <w:jc w:val="both"/>
      </w:pPr>
      <w:r>
        <w:t>Study the design changes needed to support the following channels /signals in NR-U</w:t>
      </w:r>
    </w:p>
    <w:p w14:paraId="0763B130" w14:textId="77777777" w:rsidR="000D3138" w:rsidRPr="0001199A" w:rsidRDefault="000D3138" w:rsidP="000D3138">
      <w:pPr>
        <w:widowControl w:val="0"/>
        <w:numPr>
          <w:ilvl w:val="1"/>
          <w:numId w:val="32"/>
        </w:numPr>
        <w:jc w:val="both"/>
      </w:pPr>
      <w:r w:rsidRPr="0001199A">
        <w:t>PDCCH/PDSCH</w:t>
      </w:r>
    </w:p>
    <w:p w14:paraId="16912DF2" w14:textId="77777777" w:rsidR="000D3138" w:rsidRPr="0001199A" w:rsidRDefault="000D3138" w:rsidP="000D3138">
      <w:pPr>
        <w:widowControl w:val="0"/>
        <w:numPr>
          <w:ilvl w:val="1"/>
          <w:numId w:val="32"/>
        </w:numPr>
        <w:jc w:val="both"/>
      </w:pPr>
      <w:r w:rsidRPr="0001199A">
        <w:t>PUCCH/PUSCH</w:t>
      </w:r>
    </w:p>
    <w:p w14:paraId="5A9C5688" w14:textId="77777777" w:rsidR="000D3138" w:rsidRPr="0001199A" w:rsidRDefault="000D3138" w:rsidP="000D3138">
      <w:pPr>
        <w:widowControl w:val="0"/>
        <w:numPr>
          <w:ilvl w:val="1"/>
          <w:numId w:val="32"/>
        </w:numPr>
        <w:jc w:val="both"/>
      </w:pPr>
      <w:r w:rsidRPr="0001199A">
        <w:t>PSS/SSS/PBCH</w:t>
      </w:r>
    </w:p>
    <w:p w14:paraId="3AB09365" w14:textId="77777777" w:rsidR="000D3138" w:rsidRPr="0001199A" w:rsidRDefault="000D3138" w:rsidP="000D3138">
      <w:pPr>
        <w:widowControl w:val="0"/>
        <w:numPr>
          <w:ilvl w:val="1"/>
          <w:numId w:val="32"/>
        </w:numPr>
        <w:jc w:val="both"/>
      </w:pPr>
      <w:r w:rsidRPr="0001199A">
        <w:t>PRACH</w:t>
      </w:r>
    </w:p>
    <w:p w14:paraId="6DFF28D3" w14:textId="1702BA79" w:rsidR="006C3EA8" w:rsidRDefault="000D3138" w:rsidP="009A28B6">
      <w:pPr>
        <w:widowControl w:val="0"/>
        <w:numPr>
          <w:ilvl w:val="1"/>
          <w:numId w:val="32"/>
        </w:numPr>
        <w:jc w:val="both"/>
      </w:pPr>
      <w:r w:rsidRPr="0001199A">
        <w:t>DL and UL reference signals applicable to the operational frequency range</w:t>
      </w:r>
    </w:p>
    <w:p w14:paraId="2EACFD34" w14:textId="77777777" w:rsidR="006C3EA8" w:rsidRDefault="006C3EA8" w:rsidP="009A28B6">
      <w:pPr>
        <w:jc w:val="both"/>
      </w:pPr>
    </w:p>
    <w:p w14:paraId="0359156D" w14:textId="325709EE" w:rsidR="008B4716" w:rsidRDefault="008B4716" w:rsidP="009A28B6">
      <w:pPr>
        <w:jc w:val="both"/>
      </w:pPr>
      <w:r>
        <w:t xml:space="preserve">In RAN1 #93, It was further agreed that </w:t>
      </w:r>
      <w:r w:rsidR="007215F6">
        <w:fldChar w:fldCharType="begin"/>
      </w:r>
      <w:r w:rsidR="007215F6">
        <w:instrText xml:space="preserve"> REF _Ref521592019 \n \h </w:instrText>
      </w:r>
      <w:r w:rsidR="007215F6">
        <w:fldChar w:fldCharType="separate"/>
      </w:r>
      <w:r w:rsidR="007215F6">
        <w:t>[3]</w:t>
      </w:r>
      <w:r w:rsidR="007215F6">
        <w:fldChar w:fldCharType="end"/>
      </w:r>
    </w:p>
    <w:p w14:paraId="2ACDEB2C" w14:textId="77777777" w:rsidR="0095540B" w:rsidRPr="001211DA" w:rsidRDefault="0095540B" w:rsidP="0095540B">
      <w:pPr>
        <w:rPr>
          <w:highlight w:val="cyan"/>
          <w:lang w:eastAsia="x-none"/>
        </w:rPr>
      </w:pPr>
      <w:r w:rsidRPr="00CC6586">
        <w:rPr>
          <w:highlight w:val="green"/>
          <w:lang w:eastAsia="x-none"/>
        </w:rPr>
        <w:t>Agreement:</w:t>
      </w:r>
    </w:p>
    <w:p w14:paraId="38C3CB6E" w14:textId="77777777" w:rsidR="0095540B" w:rsidRPr="0095540B" w:rsidRDefault="0095540B" w:rsidP="0095540B">
      <w:pPr>
        <w:numPr>
          <w:ilvl w:val="0"/>
          <w:numId w:val="33"/>
        </w:numPr>
        <w:rPr>
          <w:lang w:eastAsia="x-none"/>
        </w:rPr>
      </w:pPr>
      <w:r w:rsidRPr="001211DA">
        <w:rPr>
          <w:lang w:eastAsia="x-none"/>
        </w:rPr>
        <w:t xml:space="preserve">NR-U should </w:t>
      </w:r>
      <w:r w:rsidRPr="0095540B">
        <w:rPr>
          <w:lang w:eastAsia="x-none"/>
        </w:rPr>
        <w:t>have a signal that contains at least SS/PBCH block burst set transmission</w:t>
      </w:r>
    </w:p>
    <w:p w14:paraId="4A6009A3" w14:textId="77777777" w:rsidR="0095540B" w:rsidRPr="0095540B" w:rsidRDefault="0095540B" w:rsidP="0095540B">
      <w:pPr>
        <w:numPr>
          <w:ilvl w:val="1"/>
          <w:numId w:val="33"/>
        </w:numPr>
        <w:rPr>
          <w:lang w:eastAsia="x-none"/>
        </w:rPr>
      </w:pPr>
      <w:r w:rsidRPr="0095540B">
        <w:rPr>
          <w:lang w:eastAsia="x-none"/>
        </w:rPr>
        <w:t>FFS: Other channels and signals transmitted together as part of the signal</w:t>
      </w:r>
    </w:p>
    <w:p w14:paraId="615E816A" w14:textId="77777777" w:rsidR="0095540B" w:rsidRPr="0095540B" w:rsidRDefault="0095540B" w:rsidP="0095540B">
      <w:pPr>
        <w:numPr>
          <w:ilvl w:val="0"/>
          <w:numId w:val="33"/>
        </w:numPr>
        <w:rPr>
          <w:lang w:eastAsia="x-none"/>
        </w:rPr>
      </w:pPr>
      <w:r w:rsidRPr="0095540B">
        <w:rPr>
          <w:lang w:eastAsia="x-none"/>
        </w:rPr>
        <w:t>The design of this signal should consider the following characteristics specific to unlicensed band operation</w:t>
      </w:r>
    </w:p>
    <w:p w14:paraId="01979920" w14:textId="77777777" w:rsidR="0095540B" w:rsidRPr="0095540B" w:rsidRDefault="0095540B" w:rsidP="0095540B">
      <w:pPr>
        <w:numPr>
          <w:ilvl w:val="1"/>
          <w:numId w:val="33"/>
        </w:numPr>
        <w:rPr>
          <w:lang w:eastAsia="x-none"/>
        </w:rPr>
      </w:pPr>
      <w:r w:rsidRPr="0095540B">
        <w:rPr>
          <w:lang w:eastAsia="x-none"/>
        </w:rPr>
        <w:t>There are no gaps within the time span the signal is transmitted at least within a beam</w:t>
      </w:r>
    </w:p>
    <w:p w14:paraId="2FDA1D65" w14:textId="77777777" w:rsidR="0095540B" w:rsidRPr="001211DA" w:rsidRDefault="0095540B" w:rsidP="0095540B">
      <w:pPr>
        <w:numPr>
          <w:ilvl w:val="2"/>
          <w:numId w:val="33"/>
        </w:numPr>
        <w:rPr>
          <w:lang w:eastAsia="x-none"/>
        </w:rPr>
      </w:pPr>
      <w:r>
        <w:rPr>
          <w:lang w:eastAsia="x-none"/>
        </w:rPr>
        <w:t>FFS: Whether any gaps are needed for beam switching and, if needed, their duration</w:t>
      </w:r>
    </w:p>
    <w:p w14:paraId="5DA66B15" w14:textId="77777777" w:rsidR="0095540B" w:rsidRPr="001211DA" w:rsidRDefault="0095540B" w:rsidP="0095540B">
      <w:pPr>
        <w:numPr>
          <w:ilvl w:val="1"/>
          <w:numId w:val="33"/>
        </w:numPr>
        <w:rPr>
          <w:lang w:eastAsia="x-none"/>
        </w:rPr>
      </w:pPr>
      <w:r w:rsidRPr="001211DA">
        <w:rPr>
          <w:lang w:eastAsia="x-none"/>
        </w:rPr>
        <w:t>The occupied channel bandwidth is satisfied (although this may not be a requirement)</w:t>
      </w:r>
    </w:p>
    <w:p w14:paraId="5466DD3B" w14:textId="77777777" w:rsidR="0095540B" w:rsidRPr="001211DA" w:rsidRDefault="0095540B" w:rsidP="0095540B">
      <w:pPr>
        <w:numPr>
          <w:ilvl w:val="1"/>
          <w:numId w:val="33"/>
        </w:numPr>
        <w:rPr>
          <w:lang w:eastAsia="x-none"/>
        </w:rPr>
      </w:pPr>
      <w:r w:rsidRPr="001211DA">
        <w:rPr>
          <w:lang w:eastAsia="x-none"/>
        </w:rPr>
        <w:t>Strive to minimize the channel occupancy time of the signal</w:t>
      </w:r>
    </w:p>
    <w:p w14:paraId="09420571" w14:textId="77777777" w:rsidR="0095540B" w:rsidRPr="001211DA" w:rsidRDefault="0095540B" w:rsidP="0095540B">
      <w:pPr>
        <w:numPr>
          <w:ilvl w:val="1"/>
          <w:numId w:val="33"/>
        </w:numPr>
      </w:pPr>
      <w:r w:rsidRPr="001211DA">
        <w:rPr>
          <w:lang w:eastAsia="x-none"/>
        </w:rPr>
        <w:t>Characteristics that may facilitate fast channel access</w:t>
      </w:r>
    </w:p>
    <w:p w14:paraId="10FEE976" w14:textId="77777777" w:rsidR="0095540B" w:rsidRDefault="0095540B" w:rsidP="0095540B">
      <w:pPr>
        <w:pStyle w:val="bullet"/>
        <w:numPr>
          <w:ilvl w:val="0"/>
          <w:numId w:val="0"/>
        </w:numPr>
        <w:rPr>
          <w:sz w:val="24"/>
          <w:highlight w:val="green"/>
        </w:rPr>
      </w:pPr>
    </w:p>
    <w:p w14:paraId="4A5F1BB2" w14:textId="77777777" w:rsidR="0095540B" w:rsidRPr="0095540B" w:rsidRDefault="0095540B" w:rsidP="0095540B">
      <w:pPr>
        <w:pStyle w:val="bullet"/>
        <w:numPr>
          <w:ilvl w:val="0"/>
          <w:numId w:val="0"/>
        </w:numPr>
        <w:rPr>
          <w:sz w:val="24"/>
        </w:rPr>
      </w:pPr>
      <w:r w:rsidRPr="0095540B">
        <w:rPr>
          <w:sz w:val="24"/>
          <w:highlight w:val="green"/>
        </w:rPr>
        <w:t>Agreement:</w:t>
      </w:r>
    </w:p>
    <w:p w14:paraId="3DB64877" w14:textId="77777777" w:rsidR="0095540B" w:rsidRPr="0095540B" w:rsidRDefault="0095540B" w:rsidP="0095540B">
      <w:pPr>
        <w:pStyle w:val="bullet"/>
        <w:numPr>
          <w:ilvl w:val="0"/>
          <w:numId w:val="35"/>
        </w:numPr>
        <w:ind w:firstLine="400"/>
        <w:rPr>
          <w:sz w:val="24"/>
        </w:rPr>
      </w:pPr>
      <w:r w:rsidRPr="0095540B">
        <w:rPr>
          <w:sz w:val="24"/>
        </w:rPr>
        <w:t xml:space="preserve">Benefits of using a signal that facilitates its detection with low complexity can be investigated including all/part of the following scenarios/use cases: </w:t>
      </w:r>
    </w:p>
    <w:p w14:paraId="1506DE0A" w14:textId="77777777" w:rsidR="0095540B" w:rsidRPr="0095540B" w:rsidRDefault="0095540B" w:rsidP="0095540B">
      <w:pPr>
        <w:pStyle w:val="bullet"/>
        <w:numPr>
          <w:ilvl w:val="1"/>
          <w:numId w:val="35"/>
        </w:numPr>
        <w:ind w:firstLine="400"/>
        <w:rPr>
          <w:sz w:val="24"/>
        </w:rPr>
      </w:pPr>
      <w:r w:rsidRPr="0095540B">
        <w:rPr>
          <w:sz w:val="24"/>
        </w:rPr>
        <w:t>UE power saving</w:t>
      </w:r>
    </w:p>
    <w:p w14:paraId="4380F32F" w14:textId="77777777" w:rsidR="0095540B" w:rsidRPr="0095540B" w:rsidRDefault="0095540B" w:rsidP="0095540B">
      <w:pPr>
        <w:pStyle w:val="bullet"/>
        <w:numPr>
          <w:ilvl w:val="1"/>
          <w:numId w:val="35"/>
        </w:numPr>
        <w:ind w:firstLine="400"/>
        <w:rPr>
          <w:sz w:val="24"/>
        </w:rPr>
      </w:pPr>
      <w:r w:rsidRPr="0095540B">
        <w:rPr>
          <w:sz w:val="24"/>
        </w:rPr>
        <w:t>Improved coexistence</w:t>
      </w:r>
    </w:p>
    <w:p w14:paraId="44FE2BD7" w14:textId="77777777" w:rsidR="0095540B" w:rsidRPr="0095540B" w:rsidRDefault="0095540B" w:rsidP="0095540B">
      <w:pPr>
        <w:pStyle w:val="bullet"/>
        <w:numPr>
          <w:ilvl w:val="1"/>
          <w:numId w:val="35"/>
        </w:numPr>
        <w:ind w:firstLine="400"/>
        <w:rPr>
          <w:sz w:val="24"/>
        </w:rPr>
      </w:pPr>
      <w:r w:rsidRPr="0095540B">
        <w:rPr>
          <w:sz w:val="24"/>
        </w:rPr>
        <w:t xml:space="preserve">Spatial reuse at least within the same operator network </w:t>
      </w:r>
    </w:p>
    <w:p w14:paraId="65E4A1CF" w14:textId="77777777" w:rsidR="0095540B" w:rsidRPr="0095540B" w:rsidRDefault="0095540B" w:rsidP="0095540B">
      <w:pPr>
        <w:pStyle w:val="bullet"/>
        <w:numPr>
          <w:ilvl w:val="1"/>
          <w:numId w:val="35"/>
        </w:numPr>
        <w:ind w:firstLine="400"/>
        <w:rPr>
          <w:sz w:val="24"/>
        </w:rPr>
      </w:pPr>
      <w:r w:rsidRPr="0095540B">
        <w:rPr>
          <w:sz w:val="24"/>
        </w:rPr>
        <w:t>Serving cell transmission burst acquisition</w:t>
      </w:r>
    </w:p>
    <w:p w14:paraId="0F205FB7" w14:textId="77777777" w:rsidR="0095540B" w:rsidRPr="0095540B" w:rsidRDefault="0095540B" w:rsidP="0095540B">
      <w:pPr>
        <w:pStyle w:val="bullet"/>
        <w:numPr>
          <w:ilvl w:val="1"/>
          <w:numId w:val="35"/>
        </w:numPr>
        <w:ind w:firstLine="400"/>
        <w:rPr>
          <w:sz w:val="24"/>
        </w:rPr>
      </w:pPr>
      <w:r w:rsidRPr="0095540B">
        <w:rPr>
          <w:sz w:val="24"/>
        </w:rPr>
        <w:t>FFS: further usage scenarios</w:t>
      </w:r>
    </w:p>
    <w:p w14:paraId="0466F1CC" w14:textId="77777777" w:rsidR="0095540B" w:rsidRDefault="0095540B" w:rsidP="009A28B6">
      <w:pPr>
        <w:jc w:val="both"/>
      </w:pPr>
    </w:p>
    <w:p w14:paraId="7C56D8F3" w14:textId="77777777" w:rsidR="0095540B" w:rsidRDefault="0095540B" w:rsidP="009A28B6">
      <w:pPr>
        <w:jc w:val="both"/>
      </w:pPr>
    </w:p>
    <w:p w14:paraId="19C1B459" w14:textId="09FD626F" w:rsidR="006C3EA8" w:rsidRDefault="009A28B6" w:rsidP="009A28B6">
      <w:pPr>
        <w:jc w:val="both"/>
      </w:pPr>
      <w:r>
        <w:t xml:space="preserve">In this contribution, we briefly discuss </w:t>
      </w:r>
      <w:r w:rsidR="00936CE0">
        <w:t xml:space="preserve">potential challenges and solutions to </w:t>
      </w:r>
      <w:r w:rsidR="000659B9">
        <w:t xml:space="preserve">DL </w:t>
      </w:r>
      <w:r w:rsidR="00936CE0">
        <w:t>channel design in unlicensed spectrum access</w:t>
      </w:r>
      <w:r>
        <w:t>.</w:t>
      </w:r>
      <w:r w:rsidR="000659B9">
        <w:t xml:space="preserve"> In </w:t>
      </w:r>
      <w:r w:rsidR="00E00C1E">
        <w:t>companion paper</w:t>
      </w:r>
      <w:r w:rsidR="000659B9">
        <w:t>s</w:t>
      </w:r>
      <w:r w:rsidR="00D54484">
        <w:t xml:space="preserve"> </w:t>
      </w:r>
      <w:r w:rsidR="00D54484">
        <w:fldChar w:fldCharType="begin"/>
      </w:r>
      <w:r w:rsidR="00D54484">
        <w:instrText xml:space="preserve"> REF _Ref510794934 \n \h </w:instrText>
      </w:r>
      <w:r w:rsidR="00D54484">
        <w:fldChar w:fldCharType="separate"/>
      </w:r>
      <w:r w:rsidR="00D54484">
        <w:t>[6]</w:t>
      </w:r>
      <w:r w:rsidR="00D54484">
        <w:fldChar w:fldCharType="end"/>
      </w:r>
      <w:r w:rsidR="00D54484">
        <w:fldChar w:fldCharType="begin"/>
      </w:r>
      <w:r w:rsidR="00D54484">
        <w:instrText xml:space="preserve"> REF _Ref521533395 \n \h </w:instrText>
      </w:r>
      <w:r w:rsidR="00D54484">
        <w:fldChar w:fldCharType="separate"/>
      </w:r>
      <w:r w:rsidR="00D54484">
        <w:t>[7]</w:t>
      </w:r>
      <w:r w:rsidR="00D54484">
        <w:fldChar w:fldCharType="end"/>
      </w:r>
      <w:r w:rsidR="00E00C1E">
        <w:t xml:space="preserve">, we also briefly discuss other potential enhancements to physical layer procedures </w:t>
      </w:r>
      <w:r w:rsidR="00D54484">
        <w:t>and UL channel designs for unlicensed access</w:t>
      </w:r>
      <w:r w:rsidR="00E00C1E">
        <w:t>.</w:t>
      </w:r>
    </w:p>
    <w:p w14:paraId="13D67956" w14:textId="77777777" w:rsidR="00D54484" w:rsidRPr="0012647B" w:rsidRDefault="00D54484" w:rsidP="009A28B6">
      <w:pPr>
        <w:jc w:val="both"/>
      </w:pPr>
    </w:p>
    <w:p w14:paraId="6D498271" w14:textId="06AA8C92" w:rsidR="006F21A8" w:rsidRDefault="00511048" w:rsidP="006A1E84">
      <w:pPr>
        <w:pStyle w:val="Heading1"/>
      </w:pPr>
      <w:r>
        <w:t>Synchronization Signals</w:t>
      </w:r>
      <w:r w:rsidR="006F21A8">
        <w:t xml:space="preserve"> </w:t>
      </w:r>
    </w:p>
    <w:p w14:paraId="5745BB8C" w14:textId="2F688EB6" w:rsidR="00984760" w:rsidRDefault="00F75F6C" w:rsidP="003E52E6">
      <w:pPr>
        <w:jc w:val="both"/>
      </w:pPr>
      <w:r>
        <w:t xml:space="preserve">NR provides a unified synchronization </w:t>
      </w:r>
      <w:r w:rsidR="00A83FE4">
        <w:t xml:space="preserve">design </w:t>
      </w:r>
      <w:r>
        <w:t xml:space="preserve">frame work for FR1 and FR2, with band dependent </w:t>
      </w:r>
      <w:r w:rsidR="00A83FE4">
        <w:t xml:space="preserve">synchronization signal blocks (SSB) configuration. </w:t>
      </w:r>
      <w:r w:rsidR="00984760">
        <w:t xml:space="preserve">Depending on the frequency band, the network will need to </w:t>
      </w:r>
      <w:r w:rsidR="00774548">
        <w:t xml:space="preserve">send multiple SSBs within </w:t>
      </w:r>
      <w:proofErr w:type="gramStart"/>
      <w:r w:rsidR="00774548">
        <w:t>a</w:t>
      </w:r>
      <w:proofErr w:type="gramEnd"/>
      <w:r w:rsidR="00774548">
        <w:t xml:space="preserve"> SSB-</w:t>
      </w:r>
      <w:r w:rsidR="00984760">
        <w:t>burst of 5ms window. The SSB indices provide important information on system timing, as well as beam indication.</w:t>
      </w:r>
    </w:p>
    <w:p w14:paraId="3AA45C87" w14:textId="77777777" w:rsidR="00984760" w:rsidRDefault="00984760" w:rsidP="003E52E6">
      <w:pPr>
        <w:jc w:val="both"/>
      </w:pPr>
    </w:p>
    <w:p w14:paraId="4E7E85C0" w14:textId="19481D28" w:rsidR="00984760" w:rsidRDefault="00984760" w:rsidP="003E52E6">
      <w:pPr>
        <w:jc w:val="both"/>
      </w:pPr>
      <w:r>
        <w:t>On the</w:t>
      </w:r>
      <w:r w:rsidR="001F76F3">
        <w:t xml:space="preserve"> other hand, SSB transmission is also</w:t>
      </w:r>
      <w:r>
        <w:t xml:space="preserve"> subject to LBT requirement from regulations, which indicates</w:t>
      </w:r>
      <w:r w:rsidR="00A823CE">
        <w:t xml:space="preserve"> possibility that</w:t>
      </w:r>
      <w:r>
        <w:t xml:space="preserve"> </w:t>
      </w:r>
      <w:r w:rsidR="00A823CE">
        <w:t>not all SSB can be sent out at the pre-specified locations within the 5ms window. The larger the number of SSBs to be supported, the higher the probability not all of them can be transmitted.</w:t>
      </w:r>
    </w:p>
    <w:p w14:paraId="3BF8719B" w14:textId="77777777" w:rsidR="00D27E80" w:rsidRDefault="00D27E80" w:rsidP="003E52E6">
      <w:pPr>
        <w:jc w:val="both"/>
      </w:pPr>
    </w:p>
    <w:p w14:paraId="5A9ED47B" w14:textId="4809F0A4" w:rsidR="003F66D2" w:rsidRDefault="003F66D2" w:rsidP="003E52E6">
      <w:pPr>
        <w:jc w:val="both"/>
      </w:pPr>
      <w:r>
        <w:t xml:space="preserve">One way to reduce the LBT overhead and increase the chance of sending out different SSBs is to stack </w:t>
      </w:r>
      <w:r w:rsidR="00E00C1E">
        <w:t xml:space="preserve">a group of </w:t>
      </w:r>
      <w:r>
        <w:t xml:space="preserve">multiple </w:t>
      </w:r>
      <w:r w:rsidR="00E00C1E">
        <w:t>beams/</w:t>
      </w:r>
      <w:r>
        <w:t>SSBs in frequency domain and transmit them together once the channel is detected as available during one of the pre-specified SSB opportunities</w:t>
      </w:r>
      <w:r w:rsidR="00E00C1E">
        <w:t xml:space="preserve"> corresponding to the group of SSBs</w:t>
      </w:r>
      <w:r>
        <w:t xml:space="preserve">, </w:t>
      </w:r>
      <w:r w:rsidR="00BF6A64">
        <w:t>as shown in</w:t>
      </w:r>
      <w:r w:rsidR="00E00C1E">
        <w:t xml:space="preserve"> </w:t>
      </w:r>
      <w:r w:rsidR="00E00C1E">
        <w:fldChar w:fldCharType="begin"/>
      </w:r>
      <w:r w:rsidR="00E00C1E">
        <w:instrText xml:space="preserve"> REF _Ref510792193 \h </w:instrText>
      </w:r>
      <w:r w:rsidR="00E00C1E">
        <w:fldChar w:fldCharType="separate"/>
      </w:r>
      <w:r w:rsidR="00E00C1E">
        <w:t xml:space="preserve">Figure </w:t>
      </w:r>
      <w:r w:rsidR="00E00C1E">
        <w:rPr>
          <w:noProof/>
        </w:rPr>
        <w:t>4</w:t>
      </w:r>
      <w:r w:rsidR="00E00C1E">
        <w:noBreakHyphen/>
      </w:r>
      <w:r w:rsidR="00E00C1E">
        <w:rPr>
          <w:noProof/>
        </w:rPr>
        <w:t>1</w:t>
      </w:r>
      <w:r w:rsidR="00E00C1E">
        <w:fldChar w:fldCharType="end"/>
      </w:r>
      <w:r w:rsidR="00E00C1E">
        <w:t>.</w:t>
      </w:r>
    </w:p>
    <w:p w14:paraId="5C4D1FC8" w14:textId="77777777" w:rsidR="00E00C1E" w:rsidRDefault="00E00C1E" w:rsidP="003E52E6">
      <w:pPr>
        <w:jc w:val="both"/>
      </w:pPr>
    </w:p>
    <w:p w14:paraId="3C247377" w14:textId="7954025E" w:rsidR="00BF6A64" w:rsidRDefault="00BF6A64" w:rsidP="003E52E6">
      <w:pPr>
        <w:jc w:val="both"/>
      </w:pPr>
      <w:r w:rsidRPr="00BF6A64">
        <w:rPr>
          <w:noProof/>
        </w:rPr>
        <w:drawing>
          <wp:inline distT="0" distB="0" distL="0" distR="0" wp14:anchorId="26EBB72D" wp14:editId="3BDF09E5">
            <wp:extent cx="3873500" cy="2832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73500" cy="2832100"/>
                    </a:xfrm>
                    <a:prstGeom prst="rect">
                      <a:avLst/>
                    </a:prstGeom>
                  </pic:spPr>
                </pic:pic>
              </a:graphicData>
            </a:graphic>
          </wp:inline>
        </w:drawing>
      </w:r>
    </w:p>
    <w:p w14:paraId="0B131F40" w14:textId="16048FB6" w:rsidR="00E00C1E" w:rsidRDefault="00E00C1E" w:rsidP="00E00C1E">
      <w:pPr>
        <w:pStyle w:val="Caption"/>
      </w:pPr>
      <w:bookmarkStart w:id="0" w:name="_Ref510792193"/>
      <w:r>
        <w:t xml:space="preserve">Figure </w:t>
      </w:r>
      <w:r w:rsidR="00F1405D">
        <w:rPr>
          <w:noProof/>
        </w:rPr>
        <w:fldChar w:fldCharType="begin"/>
      </w:r>
      <w:r w:rsidR="00F1405D">
        <w:rPr>
          <w:noProof/>
        </w:rPr>
        <w:instrText xml:space="preserve"> STYLEREF 1 \s </w:instrText>
      </w:r>
      <w:r w:rsidR="00F1405D">
        <w:rPr>
          <w:noProof/>
        </w:rPr>
        <w:fldChar w:fldCharType="separate"/>
      </w:r>
      <w:r>
        <w:rPr>
          <w:noProof/>
        </w:rPr>
        <w:t>4</w:t>
      </w:r>
      <w:r w:rsidR="00F1405D">
        <w:rPr>
          <w:noProof/>
        </w:rPr>
        <w:fldChar w:fldCharType="end"/>
      </w:r>
      <w:r>
        <w:noBreakHyphen/>
      </w:r>
      <w:r w:rsidR="00F1405D">
        <w:rPr>
          <w:noProof/>
        </w:rPr>
        <w:fldChar w:fldCharType="begin"/>
      </w:r>
      <w:r w:rsidR="00F1405D">
        <w:rPr>
          <w:noProof/>
        </w:rPr>
        <w:instrText xml:space="preserve"> SEQ Figure \* ARABIC \s 1 </w:instrText>
      </w:r>
      <w:r w:rsidR="00F1405D">
        <w:rPr>
          <w:noProof/>
        </w:rPr>
        <w:fldChar w:fldCharType="separate"/>
      </w:r>
      <w:r>
        <w:rPr>
          <w:noProof/>
        </w:rPr>
        <w:t>1</w:t>
      </w:r>
      <w:r w:rsidR="00F1405D">
        <w:rPr>
          <w:noProof/>
        </w:rPr>
        <w:fldChar w:fldCharType="end"/>
      </w:r>
      <w:bookmarkEnd w:id="0"/>
      <w:r>
        <w:t xml:space="preserve"> Frequency domain multiplexing of different beams</w:t>
      </w:r>
    </w:p>
    <w:p w14:paraId="6E5A2F60" w14:textId="72AA3D9E" w:rsidR="00F50FE8" w:rsidRDefault="00843E1A" w:rsidP="003E52E6">
      <w:pPr>
        <w:jc w:val="both"/>
      </w:pPr>
      <w:r>
        <w:fldChar w:fldCharType="begin"/>
      </w:r>
      <w:r>
        <w:instrText xml:space="preserve"> REF _Ref510792193 \h </w:instrText>
      </w:r>
      <w:r>
        <w:fldChar w:fldCharType="separate"/>
      </w:r>
      <w:r>
        <w:t xml:space="preserve">Figure </w:t>
      </w:r>
      <w:r>
        <w:rPr>
          <w:noProof/>
        </w:rPr>
        <w:t>4</w:t>
      </w:r>
      <w:r>
        <w:noBreakHyphen/>
      </w:r>
      <w:r>
        <w:rPr>
          <w:noProof/>
        </w:rPr>
        <w:t>1</w:t>
      </w:r>
      <w:r>
        <w:fldChar w:fldCharType="end"/>
      </w:r>
      <w:r w:rsidR="00C73F28">
        <w:t xml:space="preserve"> shows an example where </w:t>
      </w:r>
      <m:oMath>
        <m:r>
          <w:rPr>
            <w:rFonts w:ascii="Cambria Math" w:hAnsi="Cambria Math"/>
          </w:rPr>
          <m:t>K=3</m:t>
        </m:r>
      </m:oMath>
      <w:r>
        <w:t xml:space="preserve"> beams are grouped </w:t>
      </w:r>
      <w:r w:rsidR="00C73F28">
        <w:t xml:space="preserve">together, which can be sent at the same time in frequency domain (assuming that </w:t>
      </w:r>
      <w:proofErr w:type="spellStart"/>
      <w:r w:rsidR="00C73F28">
        <w:t>gNB</w:t>
      </w:r>
      <w:proofErr w:type="spellEnd"/>
      <w:r w:rsidR="00C73F28">
        <w:t xml:space="preserve"> has the capability of support </w:t>
      </w:r>
      <m:oMath>
        <m:r>
          <w:rPr>
            <w:rFonts w:ascii="Cambria Math" w:hAnsi="Cambria Math"/>
          </w:rPr>
          <m:t>K</m:t>
        </m:r>
      </m:oMath>
      <w:r w:rsidR="00C73F28">
        <w:t xml:space="preserve"> different beams simultaneously). SSB indices still carriers the timing information, similar as in licensed spectrum, but not beam indication within the group. Alternatively, the beam information within the group will be carried by the raster points of SSB that the UE can detect, and feedback of the beam information can still be indicated to the network by the corresponding RACH resource. This way, network only </w:t>
      </w:r>
      <w:r w:rsidR="001F76F3">
        <w:t>requires</w:t>
      </w:r>
      <w:r w:rsidR="00C73F28">
        <w:t xml:space="preserve"> channel availability for 1 out of </w:t>
      </w:r>
      <m:oMath>
        <m:r>
          <w:rPr>
            <w:rFonts w:ascii="Cambria Math" w:hAnsi="Cambria Math"/>
          </w:rPr>
          <m:t>K</m:t>
        </m:r>
      </m:oMath>
      <w:r w:rsidR="00C73F28">
        <w:t xml:space="preserve"> SSB locations to beam sweep </w:t>
      </w:r>
      <m:oMath>
        <m:r>
          <w:rPr>
            <w:rFonts w:ascii="Cambria Math" w:hAnsi="Cambria Math"/>
          </w:rPr>
          <m:t>K</m:t>
        </m:r>
      </m:oMath>
      <w:r w:rsidR="00C73F28">
        <w:t xml:space="preserve"> different beam d</w:t>
      </w:r>
      <w:proofErr w:type="spellStart"/>
      <w:r w:rsidR="00C73F28">
        <w:t>irections</w:t>
      </w:r>
      <w:proofErr w:type="spellEnd"/>
      <w:r w:rsidR="00C73F28">
        <w:t>, and the blocking probability or LBT overhead for SSB beam sweep can be reduced.</w:t>
      </w:r>
    </w:p>
    <w:p w14:paraId="1CB16904" w14:textId="77777777" w:rsidR="003E52E6" w:rsidRDefault="003E52E6" w:rsidP="008D6B29"/>
    <w:p w14:paraId="44EF2AF1" w14:textId="09A413C6" w:rsidR="00E413B2" w:rsidRPr="00C963BC" w:rsidRDefault="00C963BC" w:rsidP="008D6B29">
      <w:pPr>
        <w:rPr>
          <w:b/>
          <w:i/>
        </w:rPr>
      </w:pPr>
      <w:r w:rsidRPr="00C963BC">
        <w:rPr>
          <w:b/>
          <w:i/>
          <w:u w:val="single"/>
        </w:rPr>
        <w:lastRenderedPageBreak/>
        <w:t xml:space="preserve">Proposal </w:t>
      </w:r>
      <w:r w:rsidR="00C35496">
        <w:rPr>
          <w:b/>
          <w:i/>
          <w:u w:val="single"/>
        </w:rPr>
        <w:t>1</w:t>
      </w:r>
      <w:r w:rsidRPr="00C963BC">
        <w:rPr>
          <w:b/>
          <w:i/>
        </w:rPr>
        <w:t xml:space="preserve">: </w:t>
      </w:r>
      <w:r w:rsidR="00FE3D51">
        <w:rPr>
          <w:b/>
          <w:i/>
        </w:rPr>
        <w:t>NRU to</w:t>
      </w:r>
      <w:r w:rsidRPr="00C963BC">
        <w:rPr>
          <w:b/>
          <w:i/>
        </w:rPr>
        <w:t xml:space="preserve"> support </w:t>
      </w:r>
      <w:r w:rsidR="00C73F28">
        <w:rPr>
          <w:b/>
          <w:i/>
        </w:rPr>
        <w:t>frequency domain multiplexing of multiple SSBs with different beam directions</w:t>
      </w:r>
      <w:r w:rsidRPr="00C963BC">
        <w:rPr>
          <w:b/>
          <w:i/>
        </w:rPr>
        <w:t>.</w:t>
      </w:r>
    </w:p>
    <w:p w14:paraId="20B2BA9C" w14:textId="77777777" w:rsidR="006F574B" w:rsidRDefault="006F574B" w:rsidP="006F21A8">
      <w:pPr>
        <w:jc w:val="both"/>
        <w:rPr>
          <w:b/>
          <w:i/>
          <w:sz w:val="20"/>
          <w:szCs w:val="20"/>
        </w:rPr>
      </w:pPr>
    </w:p>
    <w:p w14:paraId="25F98DF8" w14:textId="25728110" w:rsidR="00D54484" w:rsidRDefault="00D54484" w:rsidP="00D54484">
      <w:pPr>
        <w:pStyle w:val="Heading1"/>
      </w:pPr>
      <w:r>
        <w:t>Wake-up Signals for NR-U</w:t>
      </w:r>
    </w:p>
    <w:p w14:paraId="0CCA162D" w14:textId="77777777" w:rsidR="002D63F6" w:rsidRDefault="002D63F6" w:rsidP="002D63F6">
      <w:pPr>
        <w:jc w:val="both"/>
      </w:pPr>
      <w:r>
        <w:t xml:space="preserve">In existing LAA, UE needs to monitor downlink control channel at the slot boundaries. It is known that control channel monitoring is power consuming, and in a typical “day of use” statistics, large portion of the control channel decoding happens in subframes where the UE receives no grant or scheduling. This issue could potentially be more notable in a loaded deployment in unlicensed spectrum, as the serving </w:t>
      </w:r>
      <w:proofErr w:type="spellStart"/>
      <w:r>
        <w:t>gNB</w:t>
      </w:r>
      <w:proofErr w:type="spellEnd"/>
      <w:r>
        <w:t xml:space="preserve"> may not even get access to the medium due to LBT failures. </w:t>
      </w:r>
    </w:p>
    <w:p w14:paraId="3FC1736C" w14:textId="77777777" w:rsidR="002D63F6" w:rsidRDefault="002D63F6" w:rsidP="002D63F6">
      <w:pPr>
        <w:jc w:val="both"/>
      </w:pPr>
    </w:p>
    <w:p w14:paraId="2F7F34A9" w14:textId="4DF99095" w:rsidR="00C35496" w:rsidRDefault="002D63F6" w:rsidP="00C35496">
      <w:pPr>
        <w:jc w:val="both"/>
      </w:pPr>
      <w:r>
        <w:t xml:space="preserve">Further, this situation could potentially get worse in NR-U due to the support of flexible frame structure (e.g. mini-slot) and shorter TTI using scaled numerology. From spectrum utilization perspective, the flexible frame structure and shorter TTI can allow </w:t>
      </w:r>
      <w:proofErr w:type="spellStart"/>
      <w:r>
        <w:t>gNB</w:t>
      </w:r>
      <w:proofErr w:type="spellEnd"/>
      <w:r>
        <w:t xml:space="preserve"> to access the available channel faster and more efficiently. On the other hand, this also implies that UE will have to monitor the downlink control channel more often.</w:t>
      </w:r>
      <w:bookmarkStart w:id="1" w:name="_GoBack"/>
      <w:bookmarkEnd w:id="1"/>
    </w:p>
    <w:p w14:paraId="3E13FA15" w14:textId="77777777" w:rsidR="00C35496" w:rsidRDefault="00C35496" w:rsidP="00C35496">
      <w:pPr>
        <w:jc w:val="both"/>
      </w:pPr>
    </w:p>
    <w:p w14:paraId="1F6DC46F" w14:textId="36554D39" w:rsidR="00C35496" w:rsidRDefault="00C35496" w:rsidP="00C35496">
      <w:pPr>
        <w:jc w:val="both"/>
      </w:pPr>
      <w:r>
        <w:t xml:space="preserve">A low complexity wake-up signal could potentially help achieving a more favorable trade-off between medium access latency and UE monitoring complexity. One possible solution of the wake-up signal is illustrated in </w:t>
      </w:r>
      <w:r>
        <w:fldChar w:fldCharType="begin"/>
      </w:r>
      <w:r>
        <w:instrText xml:space="preserve"> REF _Ref521574855 \h </w:instrText>
      </w:r>
      <w:r>
        <w:fldChar w:fldCharType="separate"/>
      </w:r>
      <w:r>
        <w:t xml:space="preserve">Figure </w:t>
      </w:r>
      <w:r>
        <w:rPr>
          <w:noProof/>
        </w:rPr>
        <w:t>3</w:t>
      </w:r>
      <w:r>
        <w:noBreakHyphen/>
      </w:r>
      <w:r>
        <w:rPr>
          <w:noProof/>
        </w:rPr>
        <w:t>1</w:t>
      </w:r>
      <w:r>
        <w:fldChar w:fldCharType="end"/>
      </w:r>
    </w:p>
    <w:p w14:paraId="511590C4" w14:textId="77777777" w:rsidR="00C35496" w:rsidRDefault="00C35496" w:rsidP="00C35496">
      <w:pPr>
        <w:jc w:val="both"/>
      </w:pPr>
    </w:p>
    <w:p w14:paraId="435FA31E" w14:textId="77777777" w:rsidR="00C35496" w:rsidRDefault="00C35496" w:rsidP="00C35496">
      <w:pPr>
        <w:jc w:val="center"/>
      </w:pPr>
      <w:r w:rsidRPr="00AF3F4F">
        <w:rPr>
          <w:noProof/>
        </w:rPr>
        <w:drawing>
          <wp:inline distT="0" distB="0" distL="0" distR="0" wp14:anchorId="266C9013" wp14:editId="2DDFE18D">
            <wp:extent cx="4764024" cy="80467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64024" cy="804672"/>
                    </a:xfrm>
                    <a:prstGeom prst="rect">
                      <a:avLst/>
                    </a:prstGeom>
                  </pic:spPr>
                </pic:pic>
              </a:graphicData>
            </a:graphic>
          </wp:inline>
        </w:drawing>
      </w:r>
    </w:p>
    <w:p w14:paraId="47018FAA" w14:textId="614C531E" w:rsidR="00C35496" w:rsidRPr="007C662F" w:rsidRDefault="00C35496" w:rsidP="00C35496">
      <w:pPr>
        <w:pStyle w:val="Caption"/>
      </w:pPr>
      <w:bookmarkStart w:id="2" w:name="_Ref521574855"/>
      <w:r>
        <w:t xml:space="preserve">Figure </w:t>
      </w:r>
      <w:fldSimple w:instr=" STYLEREF 1 \s ">
        <w:r>
          <w:rPr>
            <w:noProof/>
          </w:rPr>
          <w:t>3</w:t>
        </w:r>
      </w:fldSimple>
      <w:r>
        <w:noBreakHyphen/>
      </w:r>
      <w:fldSimple w:instr=" SEQ Figure \* ARABIC \s 1 ">
        <w:r>
          <w:rPr>
            <w:noProof/>
          </w:rPr>
          <w:t>1</w:t>
        </w:r>
      </w:fldSimple>
      <w:bookmarkEnd w:id="2"/>
      <w:r>
        <w:t xml:space="preserve"> Wake-up signal for NR-U</w:t>
      </w:r>
    </w:p>
    <w:p w14:paraId="21F13777" w14:textId="77777777" w:rsidR="00C35496" w:rsidRDefault="00C35496" w:rsidP="00C35496">
      <w:pPr>
        <w:jc w:val="both"/>
      </w:pPr>
      <w:r>
        <w:t>Specifically, the wake-up signal may include the following fields:</w:t>
      </w:r>
    </w:p>
    <w:p w14:paraId="3DE98761" w14:textId="77777777" w:rsidR="00C35496" w:rsidRDefault="00C35496" w:rsidP="00C35496">
      <w:pPr>
        <w:pStyle w:val="ListParagraph"/>
        <w:numPr>
          <w:ilvl w:val="0"/>
          <w:numId w:val="35"/>
        </w:numPr>
        <w:jc w:val="both"/>
      </w:pPr>
      <w:r>
        <w:t>A low complexity detection preamble: this could help UE monitor the channel occupancy at lower cost than regular DCI monitoring, both from UE RF complexity and baseband complexity. It is desirable that the detection preamble is universal (at least within NR-U). A universal detection preamble could also allow coherent detection and achieve better coexistence with other devices.</w:t>
      </w:r>
    </w:p>
    <w:p w14:paraId="42FB6217" w14:textId="77777777" w:rsidR="00C35496" w:rsidRDefault="00C35496" w:rsidP="00C35496">
      <w:pPr>
        <w:pStyle w:val="ListParagraph"/>
        <w:numPr>
          <w:ilvl w:val="0"/>
          <w:numId w:val="35"/>
        </w:numPr>
        <w:jc w:val="both"/>
      </w:pPr>
      <w:r>
        <w:t>COT information: this information, if detected, can help other devices skip unnecessary blind control channel decoding</w:t>
      </w:r>
    </w:p>
    <w:p w14:paraId="40EEDBA1" w14:textId="77777777" w:rsidR="00C35496" w:rsidRDefault="00C35496" w:rsidP="00C35496">
      <w:pPr>
        <w:pStyle w:val="ListParagraph"/>
        <w:numPr>
          <w:ilvl w:val="0"/>
          <w:numId w:val="35"/>
        </w:numPr>
        <w:jc w:val="both"/>
      </w:pPr>
      <w:r>
        <w:t>Cell ID and optional UE group ID indication: this information, together with COT, can help devices skip unnecessary blink control channel decoding.</w:t>
      </w:r>
    </w:p>
    <w:p w14:paraId="71C81FA2" w14:textId="77777777" w:rsidR="00D54484" w:rsidRDefault="00D54484" w:rsidP="00D54484"/>
    <w:p w14:paraId="5436BC01" w14:textId="343A07B0" w:rsidR="007A5706" w:rsidRDefault="007A5706" w:rsidP="00D54484">
      <w:r>
        <w:t xml:space="preserve">As explained in </w:t>
      </w:r>
      <w:r>
        <w:fldChar w:fldCharType="begin"/>
      </w:r>
      <w:r>
        <w:instrText xml:space="preserve"> REF _Ref510794934 \n \h </w:instrText>
      </w:r>
      <w:r>
        <w:fldChar w:fldCharType="separate"/>
      </w:r>
      <w:r>
        <w:t>[6]</w:t>
      </w:r>
      <w:r>
        <w:fldChar w:fldCharType="end"/>
      </w:r>
      <w:r>
        <w:t>, UE can skip unnecessary DL control channel decoding, including wake-up detection, by correctly decoding the COT, cell ID and UE group ID as mentioned above.</w:t>
      </w:r>
    </w:p>
    <w:p w14:paraId="3145C3F4" w14:textId="77777777" w:rsidR="007A5706" w:rsidRDefault="007A5706" w:rsidP="00D54484"/>
    <w:p w14:paraId="2E031942" w14:textId="1F4A17E0" w:rsidR="007A5706" w:rsidRPr="001027AA" w:rsidRDefault="007A5706" w:rsidP="007A5706">
      <w:pPr>
        <w:jc w:val="both"/>
        <w:rPr>
          <w:b/>
          <w:i/>
        </w:rPr>
      </w:pPr>
      <w:r w:rsidRPr="001027AA">
        <w:rPr>
          <w:b/>
          <w:i/>
          <w:u w:val="single"/>
        </w:rPr>
        <w:t xml:space="preserve">Proposal </w:t>
      </w:r>
      <w:r>
        <w:rPr>
          <w:b/>
          <w:i/>
          <w:u w:val="single"/>
        </w:rPr>
        <w:t>2</w:t>
      </w:r>
      <w:r w:rsidRPr="001027AA">
        <w:rPr>
          <w:b/>
          <w:i/>
        </w:rPr>
        <w:t>: NR</w:t>
      </w:r>
      <w:r>
        <w:rPr>
          <w:b/>
          <w:i/>
        </w:rPr>
        <w:t>-</w:t>
      </w:r>
      <w:r w:rsidRPr="001027AA">
        <w:rPr>
          <w:b/>
          <w:i/>
        </w:rPr>
        <w:t xml:space="preserve">U to support </w:t>
      </w:r>
      <w:r>
        <w:rPr>
          <w:b/>
          <w:i/>
        </w:rPr>
        <w:t>wake-up signal including detection pre-amble, COT, cell ID and UE group ID</w:t>
      </w:r>
      <w:r w:rsidRPr="001027AA">
        <w:rPr>
          <w:b/>
          <w:i/>
        </w:rPr>
        <w:t>.</w:t>
      </w:r>
    </w:p>
    <w:p w14:paraId="5C7B3963" w14:textId="77777777" w:rsidR="007A5706" w:rsidRPr="00D54484" w:rsidRDefault="007A5706" w:rsidP="00D54484"/>
    <w:p w14:paraId="2896E657" w14:textId="38489508" w:rsidR="00854A60" w:rsidRDefault="00CB1432" w:rsidP="00FB330B">
      <w:pPr>
        <w:pStyle w:val="Heading1"/>
      </w:pPr>
      <w:r>
        <w:t>Concl</w:t>
      </w:r>
      <w:r w:rsidR="009C5A97" w:rsidRPr="00FB330B">
        <w:t>usion</w:t>
      </w:r>
      <w:r w:rsidR="004424BC" w:rsidRPr="00FB330B">
        <w:t>s</w:t>
      </w:r>
    </w:p>
    <w:p w14:paraId="5DD07323" w14:textId="71ADFBAD" w:rsidR="00FE3D51" w:rsidRDefault="00FE3D51" w:rsidP="00FE3D51">
      <w:r>
        <w:t>In this contribution, we briefly discuss a few existing Rel-15 NR features that could be leveraged for NR based unlicensed access. We have the following observation and proposals:</w:t>
      </w:r>
    </w:p>
    <w:p w14:paraId="7314EBED" w14:textId="77777777" w:rsidR="00FE3D51" w:rsidRDefault="00FE3D51" w:rsidP="00FE3D51">
      <w:pPr>
        <w:rPr>
          <w:b/>
          <w:i/>
          <w:color w:val="000000" w:themeColor="text1"/>
        </w:rPr>
      </w:pPr>
    </w:p>
    <w:p w14:paraId="3D7B5F5C" w14:textId="45C5652B" w:rsidR="00C73F28" w:rsidRDefault="00C73F28" w:rsidP="00C73F28">
      <w:pPr>
        <w:rPr>
          <w:b/>
          <w:i/>
        </w:rPr>
      </w:pPr>
      <w:r w:rsidRPr="00C963BC">
        <w:rPr>
          <w:b/>
          <w:i/>
          <w:u w:val="single"/>
        </w:rPr>
        <w:lastRenderedPageBreak/>
        <w:t xml:space="preserve">Proposal </w:t>
      </w:r>
      <w:r w:rsidR="007A5706">
        <w:rPr>
          <w:b/>
          <w:i/>
          <w:u w:val="single"/>
        </w:rPr>
        <w:t>1</w:t>
      </w:r>
      <w:r w:rsidRPr="00C963BC">
        <w:rPr>
          <w:b/>
          <w:i/>
        </w:rPr>
        <w:t xml:space="preserve">: </w:t>
      </w:r>
      <w:r>
        <w:rPr>
          <w:b/>
          <w:i/>
        </w:rPr>
        <w:t>NRU to</w:t>
      </w:r>
      <w:r w:rsidRPr="00C963BC">
        <w:rPr>
          <w:b/>
          <w:i/>
        </w:rPr>
        <w:t xml:space="preserve"> support </w:t>
      </w:r>
      <w:r>
        <w:rPr>
          <w:b/>
          <w:i/>
        </w:rPr>
        <w:t>frequency domain multiplexing of multiple SSBs with different beam directions</w:t>
      </w:r>
      <w:r w:rsidRPr="00C963BC">
        <w:rPr>
          <w:b/>
          <w:i/>
        </w:rPr>
        <w:t>.</w:t>
      </w:r>
    </w:p>
    <w:p w14:paraId="40C70B99" w14:textId="77777777" w:rsidR="007A5706" w:rsidRDefault="007A5706" w:rsidP="00C73F28">
      <w:pPr>
        <w:rPr>
          <w:b/>
          <w:i/>
        </w:rPr>
      </w:pPr>
    </w:p>
    <w:p w14:paraId="2F14B26B" w14:textId="7C0F2EF7" w:rsidR="007A5706" w:rsidRPr="00C963BC" w:rsidRDefault="007A5706" w:rsidP="007A5706">
      <w:pPr>
        <w:jc w:val="both"/>
        <w:rPr>
          <w:b/>
          <w:i/>
        </w:rPr>
      </w:pPr>
      <w:r w:rsidRPr="001027AA">
        <w:rPr>
          <w:b/>
          <w:i/>
          <w:u w:val="single"/>
        </w:rPr>
        <w:t xml:space="preserve">Proposal </w:t>
      </w:r>
      <w:r>
        <w:rPr>
          <w:b/>
          <w:i/>
          <w:u w:val="single"/>
        </w:rPr>
        <w:t>2</w:t>
      </w:r>
      <w:r w:rsidRPr="001027AA">
        <w:rPr>
          <w:b/>
          <w:i/>
        </w:rPr>
        <w:t>: NR</w:t>
      </w:r>
      <w:r>
        <w:rPr>
          <w:b/>
          <w:i/>
        </w:rPr>
        <w:t>-</w:t>
      </w:r>
      <w:r w:rsidRPr="001027AA">
        <w:rPr>
          <w:b/>
          <w:i/>
        </w:rPr>
        <w:t xml:space="preserve">U to support </w:t>
      </w:r>
      <w:r>
        <w:rPr>
          <w:b/>
          <w:i/>
        </w:rPr>
        <w:t>wake-up signal including detection pre-amble, COT, cell ID and UE group ID</w:t>
      </w:r>
      <w:r w:rsidRPr="001027AA">
        <w:rPr>
          <w:b/>
          <w:i/>
        </w:rPr>
        <w:t>.</w:t>
      </w:r>
    </w:p>
    <w:p w14:paraId="6D068700" w14:textId="77777777" w:rsidR="00CD4074" w:rsidRDefault="00CD4074" w:rsidP="0005407B">
      <w:pPr>
        <w:jc w:val="both"/>
        <w:rPr>
          <w:b/>
          <w:sz w:val="20"/>
          <w:szCs w:val="20"/>
        </w:rPr>
      </w:pPr>
    </w:p>
    <w:p w14:paraId="7716D850" w14:textId="47F291FA" w:rsidR="003E0F30" w:rsidRDefault="005C63AE" w:rsidP="00920B5C">
      <w:pPr>
        <w:pStyle w:val="Heading1"/>
      </w:pPr>
      <w:r>
        <w:t>References</w:t>
      </w:r>
    </w:p>
    <w:p w14:paraId="217E5F97" w14:textId="0CF2AB2B" w:rsidR="00280537" w:rsidRPr="006C3EA8" w:rsidRDefault="00834197"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3" w:name="_Ref506552387"/>
      <w:r>
        <w:rPr>
          <w:sz w:val="20"/>
          <w:szCs w:val="20"/>
        </w:rPr>
        <w:t xml:space="preserve">RP-172021, “Revised SID on NR-based Access to Unlicensed Spectrum”, </w:t>
      </w:r>
      <w:r w:rsidR="00AF7E04">
        <w:rPr>
          <w:sz w:val="20"/>
          <w:szCs w:val="20"/>
        </w:rPr>
        <w:t>3GPP RAN</w:t>
      </w:r>
      <w:r>
        <w:rPr>
          <w:sz w:val="20"/>
          <w:szCs w:val="20"/>
        </w:rPr>
        <w:t xml:space="preserve"> #77</w:t>
      </w:r>
      <w:r w:rsidR="00FF42E9" w:rsidRPr="0015118E">
        <w:rPr>
          <w:sz w:val="20"/>
          <w:szCs w:val="20"/>
        </w:rPr>
        <w:t xml:space="preserve">, </w:t>
      </w:r>
      <w:r>
        <w:rPr>
          <w:sz w:val="20"/>
        </w:rPr>
        <w:t>Sapporo</w:t>
      </w:r>
      <w:r w:rsidR="009948B6" w:rsidRPr="000B1042">
        <w:rPr>
          <w:sz w:val="20"/>
        </w:rPr>
        <w:t>,</w:t>
      </w:r>
      <w:r>
        <w:rPr>
          <w:sz w:val="20"/>
        </w:rPr>
        <w:t xml:space="preserve"> Japan</w:t>
      </w:r>
      <w:r w:rsidR="009948B6" w:rsidRPr="000B1042">
        <w:rPr>
          <w:sz w:val="20"/>
        </w:rPr>
        <w:t xml:space="preserve">, </w:t>
      </w:r>
      <w:r>
        <w:rPr>
          <w:sz w:val="20"/>
        </w:rPr>
        <w:t>11</w:t>
      </w:r>
      <w:r>
        <w:rPr>
          <w:sz w:val="20"/>
          <w:vertAlign w:val="superscript"/>
        </w:rPr>
        <w:t>th</w:t>
      </w:r>
      <w:r w:rsidR="009948B6">
        <w:rPr>
          <w:sz w:val="20"/>
        </w:rPr>
        <w:t xml:space="preserve"> </w:t>
      </w:r>
      <w:r w:rsidR="009948B6" w:rsidRPr="000B1042">
        <w:rPr>
          <w:sz w:val="20"/>
        </w:rPr>
        <w:t xml:space="preserve">– </w:t>
      </w:r>
      <w:r>
        <w:rPr>
          <w:sz w:val="20"/>
        </w:rPr>
        <w:t>14</w:t>
      </w:r>
      <w:r w:rsidR="009948B6" w:rsidRPr="000B1042">
        <w:rPr>
          <w:sz w:val="20"/>
          <w:vertAlign w:val="superscript"/>
        </w:rPr>
        <w:t>th</w:t>
      </w:r>
      <w:r w:rsidR="009948B6" w:rsidRPr="000B1042">
        <w:rPr>
          <w:sz w:val="20"/>
        </w:rPr>
        <w:t xml:space="preserve"> </w:t>
      </w:r>
      <w:r>
        <w:rPr>
          <w:sz w:val="20"/>
        </w:rPr>
        <w:t>September 2017.</w:t>
      </w:r>
      <w:bookmarkEnd w:id="3"/>
    </w:p>
    <w:p w14:paraId="3D7A8FD4" w14:textId="5CB3FD54" w:rsidR="006C3EA8" w:rsidRPr="008B4716" w:rsidRDefault="000D3138"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4" w:name="_Ref513812566"/>
      <w:r>
        <w:rPr>
          <w:sz w:val="20"/>
        </w:rPr>
        <w:t xml:space="preserve">“Chairman’s notes RAN1 92bis final”, 3GPP RAN1 #92bis, </w:t>
      </w:r>
      <w:proofErr w:type="spellStart"/>
      <w:r>
        <w:rPr>
          <w:sz w:val="20"/>
        </w:rPr>
        <w:t>Sanya</w:t>
      </w:r>
      <w:proofErr w:type="spellEnd"/>
      <w:r>
        <w:rPr>
          <w:sz w:val="20"/>
        </w:rPr>
        <w:t>, China, 16</w:t>
      </w:r>
      <w:r w:rsidRPr="000D3138">
        <w:rPr>
          <w:sz w:val="20"/>
          <w:vertAlign w:val="superscript"/>
        </w:rPr>
        <w:t>th</w:t>
      </w:r>
      <w:r>
        <w:rPr>
          <w:sz w:val="20"/>
        </w:rPr>
        <w:t xml:space="preserve"> – 20</w:t>
      </w:r>
      <w:r w:rsidRPr="000D3138">
        <w:rPr>
          <w:sz w:val="20"/>
          <w:vertAlign w:val="superscript"/>
        </w:rPr>
        <w:t>th</w:t>
      </w:r>
      <w:r>
        <w:rPr>
          <w:sz w:val="20"/>
        </w:rPr>
        <w:t>, April, 2018.</w:t>
      </w:r>
      <w:bookmarkEnd w:id="4"/>
    </w:p>
    <w:p w14:paraId="67387FB4" w14:textId="1F587858" w:rsidR="008B4716" w:rsidRPr="008B4716" w:rsidRDefault="008B4716" w:rsidP="008B4716">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5" w:name="_Ref521592019"/>
      <w:r>
        <w:rPr>
          <w:sz w:val="20"/>
        </w:rPr>
        <w:t>“Chairman’s notes RAN1 93 final”, 3GPP RAN1 #93, Busan, Korea, 21</w:t>
      </w:r>
      <w:r w:rsidRPr="00AE6F9E">
        <w:rPr>
          <w:sz w:val="20"/>
          <w:vertAlign w:val="superscript"/>
        </w:rPr>
        <w:t>st</w:t>
      </w:r>
      <w:r>
        <w:rPr>
          <w:sz w:val="20"/>
        </w:rPr>
        <w:t xml:space="preserve"> – 25</w:t>
      </w:r>
      <w:r w:rsidRPr="000D3138">
        <w:rPr>
          <w:sz w:val="20"/>
          <w:vertAlign w:val="superscript"/>
        </w:rPr>
        <w:t>th</w:t>
      </w:r>
      <w:r>
        <w:rPr>
          <w:sz w:val="20"/>
        </w:rPr>
        <w:t>, May, 2018.</w:t>
      </w:r>
      <w:bookmarkEnd w:id="5"/>
    </w:p>
    <w:p w14:paraId="47CC749D" w14:textId="4E215F4C" w:rsidR="00D533ED" w:rsidRPr="006C5678" w:rsidRDefault="00D533ED"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6" w:name="_Ref506468726"/>
      <w:r>
        <w:rPr>
          <w:sz w:val="20"/>
        </w:rPr>
        <w:t>ETSI</w:t>
      </w:r>
      <w:r w:rsidR="006C5678">
        <w:rPr>
          <w:sz w:val="20"/>
        </w:rPr>
        <w:t xml:space="preserve"> EN 301 893, “5GHz RLAN; </w:t>
      </w:r>
      <w:proofErr w:type="spellStart"/>
      <w:r w:rsidR="006C5678">
        <w:rPr>
          <w:sz w:val="20"/>
        </w:rPr>
        <w:t>Harmonised</w:t>
      </w:r>
      <w:proofErr w:type="spellEnd"/>
      <w:r w:rsidR="006C5678">
        <w:rPr>
          <w:sz w:val="20"/>
        </w:rPr>
        <w:t xml:space="preserve"> Standard covering the essential requirements of article 3.2 of Directive 2014/53/EU”</w:t>
      </w:r>
      <w:bookmarkEnd w:id="6"/>
    </w:p>
    <w:p w14:paraId="7151BA9A" w14:textId="14082DBB" w:rsidR="006C5678" w:rsidRDefault="006C5678"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7" w:name="_Ref506468732"/>
      <w:r>
        <w:rPr>
          <w:sz w:val="20"/>
          <w:szCs w:val="20"/>
        </w:rPr>
        <w:t>ETSI EN 302 567, “Multiple-Gigabit radio equipment operating in the 60GHz band”</w:t>
      </w:r>
      <w:bookmarkEnd w:id="7"/>
    </w:p>
    <w:p w14:paraId="43137DC4" w14:textId="73737BDB" w:rsidR="00FF1DA2" w:rsidRDefault="00FF1DA2" w:rsidP="00FF1DA2">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10794934"/>
      <w:r>
        <w:rPr>
          <w:sz w:val="20"/>
          <w:szCs w:val="20"/>
        </w:rPr>
        <w:t>R1-180</w:t>
      </w:r>
      <w:r w:rsidR="004B347B">
        <w:rPr>
          <w:sz w:val="20"/>
          <w:szCs w:val="20"/>
        </w:rPr>
        <w:t>8611</w:t>
      </w:r>
      <w:r>
        <w:rPr>
          <w:sz w:val="20"/>
          <w:szCs w:val="20"/>
        </w:rPr>
        <w:t>, “</w:t>
      </w:r>
      <w:r w:rsidR="004B347B">
        <w:rPr>
          <w:sz w:val="20"/>
          <w:szCs w:val="20"/>
        </w:rPr>
        <w:t>Channel access procedures</w:t>
      </w:r>
      <w:r>
        <w:rPr>
          <w:sz w:val="20"/>
          <w:szCs w:val="20"/>
        </w:rPr>
        <w:t xml:space="preserve"> for NR-U”, Apple Inc., 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8"/>
    </w:p>
    <w:p w14:paraId="73140E2C" w14:textId="65D84668" w:rsidR="00B00240" w:rsidRPr="004B347B" w:rsidRDefault="00FF1DA2" w:rsidP="004B347B">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21533395"/>
      <w:r>
        <w:rPr>
          <w:sz w:val="20"/>
          <w:szCs w:val="20"/>
        </w:rPr>
        <w:t>R1-1808613, “On UL signals and channels for NR-U”, Apple Inc., 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9"/>
    </w:p>
    <w:sectPr w:rsidR="00B00240" w:rsidRPr="004B347B">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098AA" w14:textId="77777777" w:rsidR="009E1BB7" w:rsidRDefault="009E1BB7">
      <w:r>
        <w:separator/>
      </w:r>
    </w:p>
  </w:endnote>
  <w:endnote w:type="continuationSeparator" w:id="0">
    <w:p w14:paraId="0A84DCB9" w14:textId="77777777" w:rsidR="009E1BB7" w:rsidRDefault="009E1BB7">
      <w:r>
        <w:continuationSeparator/>
      </w:r>
    </w:p>
  </w:endnote>
  <w:endnote w:type="continuationNotice" w:id="1">
    <w:p w14:paraId="74E02BA6" w14:textId="77777777" w:rsidR="009E1BB7" w:rsidRDefault="009E1B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37A94" w14:textId="77777777" w:rsidR="009E1BB7" w:rsidRDefault="009E1BB7">
      <w:r>
        <w:separator/>
      </w:r>
    </w:p>
  </w:footnote>
  <w:footnote w:type="continuationSeparator" w:id="0">
    <w:p w14:paraId="763B7F27" w14:textId="77777777" w:rsidR="009E1BB7" w:rsidRDefault="009E1BB7">
      <w:r>
        <w:continuationSeparator/>
      </w:r>
    </w:p>
  </w:footnote>
  <w:footnote w:type="continuationNotice" w:id="1">
    <w:p w14:paraId="3B868AFC" w14:textId="77777777" w:rsidR="009E1BB7" w:rsidRDefault="009E1B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35BFA"/>
    <w:multiLevelType w:val="hybridMultilevel"/>
    <w:tmpl w:val="86388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67255"/>
    <w:multiLevelType w:val="hybridMultilevel"/>
    <w:tmpl w:val="D42420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7"/>
  </w:num>
  <w:num w:numId="4">
    <w:abstractNumId w:val="18"/>
  </w:num>
  <w:num w:numId="5">
    <w:abstractNumId w:val="12"/>
  </w:num>
  <w:num w:numId="6">
    <w:abstractNumId w:val="21"/>
  </w:num>
  <w:num w:numId="7">
    <w:abstractNumId w:val="28"/>
  </w:num>
  <w:num w:numId="8">
    <w:abstractNumId w:val="13"/>
  </w:num>
  <w:num w:numId="9">
    <w:abstractNumId w:val="25"/>
  </w:num>
  <w:num w:numId="10">
    <w:abstractNumId w:val="15"/>
  </w:num>
  <w:num w:numId="11">
    <w:abstractNumId w:val="14"/>
  </w:num>
  <w:num w:numId="12">
    <w:abstractNumId w:val="29"/>
  </w:num>
  <w:num w:numId="13">
    <w:abstractNumId w:val="8"/>
  </w:num>
  <w:num w:numId="14">
    <w:abstractNumId w:val="1"/>
  </w:num>
  <w:num w:numId="15">
    <w:abstractNumId w:val="5"/>
  </w:num>
  <w:num w:numId="16">
    <w:abstractNumId w:val="31"/>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3"/>
  </w:num>
  <w:num w:numId="23">
    <w:abstractNumId w:val="30"/>
  </w:num>
  <w:num w:numId="24">
    <w:abstractNumId w:val="6"/>
  </w:num>
  <w:num w:numId="25">
    <w:abstractNumId w:val="16"/>
  </w:num>
  <w:num w:numId="26">
    <w:abstractNumId w:val="27"/>
  </w:num>
  <w:num w:numId="27">
    <w:abstractNumId w:val="2"/>
  </w:num>
  <w:num w:numId="28">
    <w:abstractNumId w:val="10"/>
  </w:num>
  <w:num w:numId="29">
    <w:abstractNumId w:val="9"/>
  </w:num>
  <w:num w:numId="30">
    <w:abstractNumId w:val="26"/>
  </w:num>
  <w:num w:numId="31">
    <w:abstractNumId w:val="7"/>
  </w:num>
  <w:num w:numId="32">
    <w:abstractNumId w:val="22"/>
  </w:num>
  <w:num w:numId="33">
    <w:abstractNumId w:val="20"/>
  </w:num>
  <w:num w:numId="34">
    <w:abstractNumId w:val="11"/>
  </w:num>
  <w:num w:numId="3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2F9D"/>
    <w:rsid w:val="0006389C"/>
    <w:rsid w:val="0006487E"/>
    <w:rsid w:val="000650C1"/>
    <w:rsid w:val="000659B9"/>
    <w:rsid w:val="00065E1A"/>
    <w:rsid w:val="000668B8"/>
    <w:rsid w:val="00066994"/>
    <w:rsid w:val="00067759"/>
    <w:rsid w:val="000679D1"/>
    <w:rsid w:val="00067C00"/>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3FD"/>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6B7"/>
    <w:rsid w:val="000A18D4"/>
    <w:rsid w:val="000A1967"/>
    <w:rsid w:val="000A1B7B"/>
    <w:rsid w:val="000A1BCE"/>
    <w:rsid w:val="000A2785"/>
    <w:rsid w:val="000A3659"/>
    <w:rsid w:val="000A4016"/>
    <w:rsid w:val="000A54F0"/>
    <w:rsid w:val="000A56F2"/>
    <w:rsid w:val="000A59FD"/>
    <w:rsid w:val="000A5DDE"/>
    <w:rsid w:val="000A61F3"/>
    <w:rsid w:val="000A6644"/>
    <w:rsid w:val="000A6B7D"/>
    <w:rsid w:val="000A6DA2"/>
    <w:rsid w:val="000A7068"/>
    <w:rsid w:val="000A7B19"/>
    <w:rsid w:val="000A7CEF"/>
    <w:rsid w:val="000A7D0B"/>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3F7"/>
    <w:rsid w:val="000D17F5"/>
    <w:rsid w:val="000D1F2E"/>
    <w:rsid w:val="000D1F94"/>
    <w:rsid w:val="000D3138"/>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1C67"/>
    <w:rsid w:val="000F2053"/>
    <w:rsid w:val="000F3BE9"/>
    <w:rsid w:val="000F3F6C"/>
    <w:rsid w:val="000F4E73"/>
    <w:rsid w:val="000F63FD"/>
    <w:rsid w:val="000F6DAD"/>
    <w:rsid w:val="000F6DF3"/>
    <w:rsid w:val="000F75D8"/>
    <w:rsid w:val="001002DA"/>
    <w:rsid w:val="001005FF"/>
    <w:rsid w:val="00100B06"/>
    <w:rsid w:val="00100D9C"/>
    <w:rsid w:val="001027AA"/>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6BA2"/>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503"/>
    <w:rsid w:val="00185D66"/>
    <w:rsid w:val="001871DD"/>
    <w:rsid w:val="001875B6"/>
    <w:rsid w:val="00187930"/>
    <w:rsid w:val="00190AC1"/>
    <w:rsid w:val="001927DF"/>
    <w:rsid w:val="001932FC"/>
    <w:rsid w:val="0019341A"/>
    <w:rsid w:val="00193DCE"/>
    <w:rsid w:val="00194B49"/>
    <w:rsid w:val="00194F24"/>
    <w:rsid w:val="00196A3C"/>
    <w:rsid w:val="00196D77"/>
    <w:rsid w:val="0019757B"/>
    <w:rsid w:val="00197A2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2D32"/>
    <w:rsid w:val="001B4453"/>
    <w:rsid w:val="001B49EC"/>
    <w:rsid w:val="001B52BA"/>
    <w:rsid w:val="001B59DA"/>
    <w:rsid w:val="001B5A5D"/>
    <w:rsid w:val="001B612E"/>
    <w:rsid w:val="001B625A"/>
    <w:rsid w:val="001B6813"/>
    <w:rsid w:val="001B68B3"/>
    <w:rsid w:val="001B796C"/>
    <w:rsid w:val="001B7A0B"/>
    <w:rsid w:val="001B7F5A"/>
    <w:rsid w:val="001C0105"/>
    <w:rsid w:val="001C100B"/>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822"/>
    <w:rsid w:val="001F3916"/>
    <w:rsid w:val="001F3D7C"/>
    <w:rsid w:val="001F46B9"/>
    <w:rsid w:val="001F54C5"/>
    <w:rsid w:val="001F5784"/>
    <w:rsid w:val="001F5AB3"/>
    <w:rsid w:val="001F662C"/>
    <w:rsid w:val="001F69F7"/>
    <w:rsid w:val="001F7074"/>
    <w:rsid w:val="001F76F3"/>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08A2"/>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1A0"/>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4D4D"/>
    <w:rsid w:val="0027544A"/>
    <w:rsid w:val="00275549"/>
    <w:rsid w:val="0027586B"/>
    <w:rsid w:val="00276B58"/>
    <w:rsid w:val="00276BE3"/>
    <w:rsid w:val="0027777C"/>
    <w:rsid w:val="00280537"/>
    <w:rsid w:val="002805F5"/>
    <w:rsid w:val="00280751"/>
    <w:rsid w:val="00280848"/>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67A"/>
    <w:rsid w:val="0029777D"/>
    <w:rsid w:val="002A055E"/>
    <w:rsid w:val="002A1002"/>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3F6"/>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A1A"/>
    <w:rsid w:val="00376B9D"/>
    <w:rsid w:val="00377CE1"/>
    <w:rsid w:val="003807F1"/>
    <w:rsid w:val="00380D0E"/>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9BC"/>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5F63"/>
    <w:rsid w:val="003D606C"/>
    <w:rsid w:val="003D6556"/>
    <w:rsid w:val="003D761D"/>
    <w:rsid w:val="003D7A25"/>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2E6"/>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2D64"/>
    <w:rsid w:val="003F3103"/>
    <w:rsid w:val="003F4198"/>
    <w:rsid w:val="003F41C6"/>
    <w:rsid w:val="003F43C0"/>
    <w:rsid w:val="003F5328"/>
    <w:rsid w:val="003F633D"/>
    <w:rsid w:val="003F66D2"/>
    <w:rsid w:val="003F6BBE"/>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595C"/>
    <w:rsid w:val="004561E0"/>
    <w:rsid w:val="00456FC4"/>
    <w:rsid w:val="00457565"/>
    <w:rsid w:val="00457B71"/>
    <w:rsid w:val="00457CD9"/>
    <w:rsid w:val="00460601"/>
    <w:rsid w:val="00460721"/>
    <w:rsid w:val="00460746"/>
    <w:rsid w:val="004619A3"/>
    <w:rsid w:val="004619F9"/>
    <w:rsid w:val="00461EBB"/>
    <w:rsid w:val="004621E8"/>
    <w:rsid w:val="00462C81"/>
    <w:rsid w:val="00462FA5"/>
    <w:rsid w:val="0046430E"/>
    <w:rsid w:val="00464E0F"/>
    <w:rsid w:val="004651AD"/>
    <w:rsid w:val="00465F3A"/>
    <w:rsid w:val="0046694A"/>
    <w:rsid w:val="004669E2"/>
    <w:rsid w:val="00466EBC"/>
    <w:rsid w:val="00467BB9"/>
    <w:rsid w:val="00470C31"/>
    <w:rsid w:val="00470C4F"/>
    <w:rsid w:val="004719C3"/>
    <w:rsid w:val="00472FAC"/>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68A"/>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47B"/>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04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309B2"/>
    <w:rsid w:val="005314A7"/>
    <w:rsid w:val="005317B9"/>
    <w:rsid w:val="005321B3"/>
    <w:rsid w:val="00533152"/>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6FD0"/>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6DBE"/>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85"/>
    <w:rsid w:val="0059346F"/>
    <w:rsid w:val="005935A4"/>
    <w:rsid w:val="0059484A"/>
    <w:rsid w:val="005948C2"/>
    <w:rsid w:val="00594DD0"/>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5CD9"/>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03"/>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3A8"/>
    <w:rsid w:val="00686BEA"/>
    <w:rsid w:val="006874FF"/>
    <w:rsid w:val="0068771A"/>
    <w:rsid w:val="006906F0"/>
    <w:rsid w:val="00690B32"/>
    <w:rsid w:val="00691D35"/>
    <w:rsid w:val="00692288"/>
    <w:rsid w:val="00692947"/>
    <w:rsid w:val="00693420"/>
    <w:rsid w:val="00693EE0"/>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3EA8"/>
    <w:rsid w:val="006C4A4B"/>
    <w:rsid w:val="006C4D67"/>
    <w:rsid w:val="006C4ECD"/>
    <w:rsid w:val="006C5678"/>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6E18"/>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63D"/>
    <w:rsid w:val="007207E0"/>
    <w:rsid w:val="00720A29"/>
    <w:rsid w:val="00720E14"/>
    <w:rsid w:val="00720FB2"/>
    <w:rsid w:val="00721593"/>
    <w:rsid w:val="007215F6"/>
    <w:rsid w:val="007217B4"/>
    <w:rsid w:val="00722405"/>
    <w:rsid w:val="007231C6"/>
    <w:rsid w:val="00723279"/>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4548"/>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4A81"/>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706"/>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5A5"/>
    <w:rsid w:val="007F1713"/>
    <w:rsid w:val="007F3056"/>
    <w:rsid w:val="007F30B7"/>
    <w:rsid w:val="007F31D4"/>
    <w:rsid w:val="007F3AD7"/>
    <w:rsid w:val="007F469E"/>
    <w:rsid w:val="007F49C8"/>
    <w:rsid w:val="007F5D6F"/>
    <w:rsid w:val="007F6B18"/>
    <w:rsid w:val="007F7004"/>
    <w:rsid w:val="00800783"/>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197"/>
    <w:rsid w:val="00834B41"/>
    <w:rsid w:val="00834B74"/>
    <w:rsid w:val="00834E03"/>
    <w:rsid w:val="008359E6"/>
    <w:rsid w:val="008362FC"/>
    <w:rsid w:val="00836307"/>
    <w:rsid w:val="008376AC"/>
    <w:rsid w:val="0083792B"/>
    <w:rsid w:val="00837D05"/>
    <w:rsid w:val="00837EDA"/>
    <w:rsid w:val="00837F6B"/>
    <w:rsid w:val="0084044A"/>
    <w:rsid w:val="008407DD"/>
    <w:rsid w:val="00841D38"/>
    <w:rsid w:val="00843E1A"/>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5BD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16"/>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B29"/>
    <w:rsid w:val="008D6D1A"/>
    <w:rsid w:val="008E065E"/>
    <w:rsid w:val="008E07DC"/>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CE0"/>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5BB"/>
    <w:rsid w:val="00954F4F"/>
    <w:rsid w:val="0095540B"/>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760"/>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162F"/>
    <w:rsid w:val="009A22E1"/>
    <w:rsid w:val="009A28B6"/>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0FAF"/>
    <w:rsid w:val="009D189F"/>
    <w:rsid w:val="009D1931"/>
    <w:rsid w:val="009D1A0A"/>
    <w:rsid w:val="009D1E0C"/>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1BB7"/>
    <w:rsid w:val="009E3017"/>
    <w:rsid w:val="009E35DB"/>
    <w:rsid w:val="009E3781"/>
    <w:rsid w:val="009E3799"/>
    <w:rsid w:val="009E4342"/>
    <w:rsid w:val="009E47A3"/>
    <w:rsid w:val="009E4897"/>
    <w:rsid w:val="009E54B2"/>
    <w:rsid w:val="009E55B1"/>
    <w:rsid w:val="009E61F3"/>
    <w:rsid w:val="009E76EE"/>
    <w:rsid w:val="009E78E7"/>
    <w:rsid w:val="009E7E2D"/>
    <w:rsid w:val="009F08F3"/>
    <w:rsid w:val="009F0EBC"/>
    <w:rsid w:val="009F0ED5"/>
    <w:rsid w:val="009F0F28"/>
    <w:rsid w:val="009F1A60"/>
    <w:rsid w:val="009F2069"/>
    <w:rsid w:val="009F2B8D"/>
    <w:rsid w:val="009F344F"/>
    <w:rsid w:val="009F390C"/>
    <w:rsid w:val="009F427D"/>
    <w:rsid w:val="009F4B4E"/>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5E49"/>
    <w:rsid w:val="00A0635D"/>
    <w:rsid w:val="00A0642B"/>
    <w:rsid w:val="00A0672A"/>
    <w:rsid w:val="00A06CD3"/>
    <w:rsid w:val="00A06FA2"/>
    <w:rsid w:val="00A1051C"/>
    <w:rsid w:val="00A1094B"/>
    <w:rsid w:val="00A10999"/>
    <w:rsid w:val="00A10CD6"/>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0B36"/>
    <w:rsid w:val="00A3175E"/>
    <w:rsid w:val="00A32CF3"/>
    <w:rsid w:val="00A33167"/>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D39"/>
    <w:rsid w:val="00A761D4"/>
    <w:rsid w:val="00A76DBB"/>
    <w:rsid w:val="00A7706C"/>
    <w:rsid w:val="00A77EC4"/>
    <w:rsid w:val="00A80575"/>
    <w:rsid w:val="00A80AC7"/>
    <w:rsid w:val="00A81256"/>
    <w:rsid w:val="00A823CE"/>
    <w:rsid w:val="00A83FE4"/>
    <w:rsid w:val="00A855D4"/>
    <w:rsid w:val="00A862D4"/>
    <w:rsid w:val="00A90CFA"/>
    <w:rsid w:val="00A9136F"/>
    <w:rsid w:val="00A91F1F"/>
    <w:rsid w:val="00A91F87"/>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0D6A"/>
    <w:rsid w:val="00AD122E"/>
    <w:rsid w:val="00AD20C4"/>
    <w:rsid w:val="00AD22E6"/>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32DD"/>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AF7E04"/>
    <w:rsid w:val="00B00240"/>
    <w:rsid w:val="00B006FE"/>
    <w:rsid w:val="00B007CB"/>
    <w:rsid w:val="00B01D07"/>
    <w:rsid w:val="00B025D7"/>
    <w:rsid w:val="00B02A2D"/>
    <w:rsid w:val="00B02A43"/>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E5"/>
    <w:rsid w:val="00B125F7"/>
    <w:rsid w:val="00B139E0"/>
    <w:rsid w:val="00B13E74"/>
    <w:rsid w:val="00B152F4"/>
    <w:rsid w:val="00B1542D"/>
    <w:rsid w:val="00B157F9"/>
    <w:rsid w:val="00B15F66"/>
    <w:rsid w:val="00B16272"/>
    <w:rsid w:val="00B167F1"/>
    <w:rsid w:val="00B16FFF"/>
    <w:rsid w:val="00B17033"/>
    <w:rsid w:val="00B176C4"/>
    <w:rsid w:val="00B177FE"/>
    <w:rsid w:val="00B20256"/>
    <w:rsid w:val="00B2074F"/>
    <w:rsid w:val="00B2097E"/>
    <w:rsid w:val="00B20D09"/>
    <w:rsid w:val="00B2133E"/>
    <w:rsid w:val="00B21604"/>
    <w:rsid w:val="00B21DEF"/>
    <w:rsid w:val="00B22A95"/>
    <w:rsid w:val="00B22AC0"/>
    <w:rsid w:val="00B23230"/>
    <w:rsid w:val="00B23A17"/>
    <w:rsid w:val="00B23AE8"/>
    <w:rsid w:val="00B23CC2"/>
    <w:rsid w:val="00B2712A"/>
    <w:rsid w:val="00B2763F"/>
    <w:rsid w:val="00B27853"/>
    <w:rsid w:val="00B279AA"/>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51DC"/>
    <w:rsid w:val="00B9530B"/>
    <w:rsid w:val="00B96A62"/>
    <w:rsid w:val="00B970DD"/>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6D9F"/>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6A64"/>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3CF5"/>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5A9"/>
    <w:rsid w:val="00C279B5"/>
    <w:rsid w:val="00C27BD2"/>
    <w:rsid w:val="00C27C45"/>
    <w:rsid w:val="00C30691"/>
    <w:rsid w:val="00C30833"/>
    <w:rsid w:val="00C30F0B"/>
    <w:rsid w:val="00C35447"/>
    <w:rsid w:val="00C35496"/>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6A28"/>
    <w:rsid w:val="00C57D72"/>
    <w:rsid w:val="00C57EF3"/>
    <w:rsid w:val="00C603E2"/>
    <w:rsid w:val="00C6047A"/>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0F9"/>
    <w:rsid w:val="00C662E2"/>
    <w:rsid w:val="00C67803"/>
    <w:rsid w:val="00C7057C"/>
    <w:rsid w:val="00C70697"/>
    <w:rsid w:val="00C72EF4"/>
    <w:rsid w:val="00C73F28"/>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8D"/>
    <w:rsid w:val="00C93196"/>
    <w:rsid w:val="00C93B42"/>
    <w:rsid w:val="00C93C4B"/>
    <w:rsid w:val="00C944AB"/>
    <w:rsid w:val="00C953CF"/>
    <w:rsid w:val="00C95B40"/>
    <w:rsid w:val="00C963BC"/>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432"/>
    <w:rsid w:val="00CB1810"/>
    <w:rsid w:val="00CB1D2A"/>
    <w:rsid w:val="00CB1E82"/>
    <w:rsid w:val="00CB1F63"/>
    <w:rsid w:val="00CB240B"/>
    <w:rsid w:val="00CB2C47"/>
    <w:rsid w:val="00CB31CC"/>
    <w:rsid w:val="00CB38F5"/>
    <w:rsid w:val="00CB3969"/>
    <w:rsid w:val="00CB3B3A"/>
    <w:rsid w:val="00CB3BBF"/>
    <w:rsid w:val="00CB40A6"/>
    <w:rsid w:val="00CB43B7"/>
    <w:rsid w:val="00CB46CA"/>
    <w:rsid w:val="00CB4A54"/>
    <w:rsid w:val="00CB4D66"/>
    <w:rsid w:val="00CB59E0"/>
    <w:rsid w:val="00CB61EF"/>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ADC"/>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6DBF"/>
    <w:rsid w:val="00D27E80"/>
    <w:rsid w:val="00D27F67"/>
    <w:rsid w:val="00D3005B"/>
    <w:rsid w:val="00D3014D"/>
    <w:rsid w:val="00D309CC"/>
    <w:rsid w:val="00D31995"/>
    <w:rsid w:val="00D31B35"/>
    <w:rsid w:val="00D32518"/>
    <w:rsid w:val="00D346B3"/>
    <w:rsid w:val="00D34C1E"/>
    <w:rsid w:val="00D34C5A"/>
    <w:rsid w:val="00D351A4"/>
    <w:rsid w:val="00D36455"/>
    <w:rsid w:val="00D3668A"/>
    <w:rsid w:val="00D36809"/>
    <w:rsid w:val="00D36E71"/>
    <w:rsid w:val="00D370A5"/>
    <w:rsid w:val="00D37630"/>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84F"/>
    <w:rsid w:val="00D47F30"/>
    <w:rsid w:val="00D50A06"/>
    <w:rsid w:val="00D512FF"/>
    <w:rsid w:val="00D51F60"/>
    <w:rsid w:val="00D52012"/>
    <w:rsid w:val="00D52BA3"/>
    <w:rsid w:val="00D5303E"/>
    <w:rsid w:val="00D533ED"/>
    <w:rsid w:val="00D54206"/>
    <w:rsid w:val="00D54484"/>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4F31"/>
    <w:rsid w:val="00D7751A"/>
    <w:rsid w:val="00D777E0"/>
    <w:rsid w:val="00D77B1D"/>
    <w:rsid w:val="00D77FDA"/>
    <w:rsid w:val="00D800F3"/>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37"/>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18B"/>
    <w:rsid w:val="00DF3520"/>
    <w:rsid w:val="00DF369C"/>
    <w:rsid w:val="00DF37A0"/>
    <w:rsid w:val="00DF3B7B"/>
    <w:rsid w:val="00DF4008"/>
    <w:rsid w:val="00DF45B5"/>
    <w:rsid w:val="00DF4EA1"/>
    <w:rsid w:val="00DF4F61"/>
    <w:rsid w:val="00DF502F"/>
    <w:rsid w:val="00DF6056"/>
    <w:rsid w:val="00DF7559"/>
    <w:rsid w:val="00E006FD"/>
    <w:rsid w:val="00E00C1E"/>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0E"/>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37CC2"/>
    <w:rsid w:val="00E4025F"/>
    <w:rsid w:val="00E413B2"/>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5D3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405D"/>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120"/>
    <w:rsid w:val="00F326AF"/>
    <w:rsid w:val="00F32B20"/>
    <w:rsid w:val="00F32D6C"/>
    <w:rsid w:val="00F33113"/>
    <w:rsid w:val="00F33232"/>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0FE8"/>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5F6C"/>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5E90"/>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C7"/>
    <w:rsid w:val="00FD5C20"/>
    <w:rsid w:val="00FD6174"/>
    <w:rsid w:val="00FD653F"/>
    <w:rsid w:val="00FD74DB"/>
    <w:rsid w:val="00FD7660"/>
    <w:rsid w:val="00FD77AB"/>
    <w:rsid w:val="00FE00B2"/>
    <w:rsid w:val="00FE0655"/>
    <w:rsid w:val="00FE0C3E"/>
    <w:rsid w:val="00FE1336"/>
    <w:rsid w:val="00FE2365"/>
    <w:rsid w:val="00FE2A4D"/>
    <w:rsid w:val="00FE3C6C"/>
    <w:rsid w:val="00FE3D51"/>
    <w:rsid w:val="00FE4C7B"/>
    <w:rsid w:val="00FE58D1"/>
    <w:rsid w:val="00FE5CEC"/>
    <w:rsid w:val="00FE6BDD"/>
    <w:rsid w:val="00FE7336"/>
    <w:rsid w:val="00FE787C"/>
    <w:rsid w:val="00FF0BB8"/>
    <w:rsid w:val="00FF0CE1"/>
    <w:rsid w:val="00FF10FD"/>
    <w:rsid w:val="00FF1DA2"/>
    <w:rsid w:val="00FF3013"/>
    <w:rsid w:val="00FF42E9"/>
    <w:rsid w:val="00FF45A5"/>
    <w:rsid w:val="00FF4A5C"/>
    <w:rsid w:val="00FF547E"/>
    <w:rsid w:val="00FF57F3"/>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paragraph" w:customStyle="1" w:styleId="bullet">
    <w:name w:val="bullet"/>
    <w:basedOn w:val="ListParagraph"/>
    <w:link w:val="bulletChar"/>
    <w:qFormat/>
    <w:rsid w:val="0095540B"/>
    <w:pPr>
      <w:widowControl w:val="0"/>
      <w:numPr>
        <w:numId w:val="34"/>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95540B"/>
    <w:rPr>
      <w:rFonts w:ascii="Times New Roman" w:eastAsia="Times New Roman" w:hAnsi="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5163945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E8855-5A9B-9C40-BFFB-D175E8E99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65</TotalTime>
  <Pages>4</Pages>
  <Words>1171</Words>
  <Characters>6680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Microsoft Office User</cp:lastModifiedBy>
  <cp:revision>12</cp:revision>
  <cp:lastPrinted>2008-01-31T16:09:00Z</cp:lastPrinted>
  <dcterms:created xsi:type="dcterms:W3CDTF">2018-04-06T23:09:00Z</dcterms:created>
  <dcterms:modified xsi:type="dcterms:W3CDTF">2018-08-11T00:30:00Z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